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7F" w:rsidRDefault="00454DAC" w:rsidP="002A7B18">
      <w:pPr>
        <w:jc w:val="center"/>
        <w:rPr>
          <w:rFonts w:ascii="方正小标宋_GBK" w:eastAsia="方正小标宋_GBK"/>
          <w:sz w:val="36"/>
          <w:szCs w:val="36"/>
        </w:rPr>
      </w:pPr>
      <w:r>
        <w:rPr>
          <w:rFonts w:ascii="方正小标宋_GBK" w:eastAsia="方正小标宋_GBK" w:hint="eastAsia"/>
          <w:sz w:val="36"/>
          <w:szCs w:val="36"/>
        </w:rPr>
        <w:t>《广西住房城乡建设</w:t>
      </w:r>
      <w:r w:rsidR="005D34CF">
        <w:rPr>
          <w:rFonts w:ascii="方正小标宋_GBK" w:eastAsia="方正小标宋_GBK" w:hint="eastAsia"/>
          <w:sz w:val="36"/>
          <w:szCs w:val="36"/>
        </w:rPr>
        <w:t>系统行政处罚自由裁量</w:t>
      </w:r>
      <w:r w:rsidR="002A7B18">
        <w:rPr>
          <w:rFonts w:ascii="方正小标宋_GBK" w:eastAsia="方正小标宋_GBK" w:hint="eastAsia"/>
          <w:sz w:val="36"/>
          <w:szCs w:val="36"/>
        </w:rPr>
        <w:t>基准（暂行）》（征求意见稿）</w:t>
      </w:r>
    </w:p>
    <w:p w:rsidR="002A7B18" w:rsidRDefault="002A7B18" w:rsidP="002A7B18">
      <w:pPr>
        <w:jc w:val="center"/>
        <w:rPr>
          <w:rFonts w:ascii="方正小标宋_GBK" w:eastAsia="方正小标宋_GBK"/>
          <w:sz w:val="36"/>
          <w:szCs w:val="36"/>
        </w:rPr>
      </w:pPr>
      <w:r>
        <w:rPr>
          <w:rFonts w:ascii="方正小标宋_GBK" w:eastAsia="方正小标宋_GBK" w:hint="eastAsia"/>
          <w:sz w:val="36"/>
          <w:szCs w:val="36"/>
        </w:rPr>
        <w:t>意见采纳情况</w:t>
      </w:r>
      <w:r w:rsidR="003C6B68">
        <w:rPr>
          <w:rFonts w:ascii="方正小标宋_GBK" w:eastAsia="方正小标宋_GBK" w:hint="eastAsia"/>
          <w:sz w:val="36"/>
          <w:szCs w:val="36"/>
        </w:rPr>
        <w:t>汇总表</w:t>
      </w:r>
    </w:p>
    <w:p w:rsidR="002A7B18" w:rsidRDefault="002A7B18" w:rsidP="0076442C">
      <w:pPr>
        <w:spacing w:line="520" w:lineRule="exact"/>
        <w:ind w:firstLineChars="200" w:firstLine="640"/>
        <w:rPr>
          <w:rFonts w:ascii="仿宋_GB2312" w:eastAsia="仿宋_GB2312"/>
          <w:sz w:val="32"/>
          <w:szCs w:val="32"/>
        </w:rPr>
      </w:pPr>
      <w:r>
        <w:rPr>
          <w:rFonts w:ascii="仿宋_GB2312" w:eastAsia="仿宋_GB2312" w:hint="eastAsia"/>
          <w:sz w:val="32"/>
          <w:szCs w:val="32"/>
        </w:rPr>
        <w:t>2019年12月3日，我厅向全区住房城乡建设系统</w:t>
      </w:r>
      <w:r w:rsidR="004E5FB6">
        <w:rPr>
          <w:rFonts w:ascii="仿宋_GB2312" w:eastAsia="仿宋_GB2312" w:hint="eastAsia"/>
          <w:sz w:val="32"/>
          <w:szCs w:val="32"/>
        </w:rPr>
        <w:t>各</w:t>
      </w:r>
      <w:r>
        <w:rPr>
          <w:rFonts w:ascii="仿宋_GB2312" w:eastAsia="仿宋_GB2312" w:hint="eastAsia"/>
          <w:sz w:val="32"/>
          <w:szCs w:val="32"/>
        </w:rPr>
        <w:t>单位印发《关于征求</w:t>
      </w:r>
      <w:r>
        <w:rPr>
          <w:rFonts w:ascii="仿宋_GB2312" w:eastAsia="仿宋_GB2312" w:hAnsi="仿宋_GB2312" w:hint="eastAsia"/>
          <w:sz w:val="32"/>
          <w:szCs w:val="32"/>
        </w:rPr>
        <w:t>&lt;</w:t>
      </w:r>
      <w:r>
        <w:rPr>
          <w:rFonts w:ascii="仿宋_GB2312" w:eastAsia="仿宋_GB2312" w:hint="eastAsia"/>
          <w:sz w:val="32"/>
          <w:szCs w:val="32"/>
        </w:rPr>
        <w:t>广西住房城乡建系统行政处罚自由裁量权基准（暂行）</w:t>
      </w:r>
      <w:r>
        <w:rPr>
          <w:rFonts w:ascii="仿宋_GB2312" w:eastAsia="仿宋_GB2312" w:hAnsi="仿宋_GB2312" w:hint="eastAsia"/>
          <w:sz w:val="32"/>
          <w:szCs w:val="32"/>
        </w:rPr>
        <w:t>&gt;</w:t>
      </w:r>
      <w:r>
        <w:rPr>
          <w:rFonts w:ascii="仿宋_GB2312" w:eastAsia="仿宋_GB2312" w:hint="eastAsia"/>
          <w:sz w:val="32"/>
          <w:szCs w:val="32"/>
        </w:rPr>
        <w:t>（征求意见稿）意见的函》征求意见，目前</w:t>
      </w:r>
      <w:r w:rsidR="009A487F">
        <w:rPr>
          <w:rFonts w:ascii="仿宋_GB2312" w:eastAsia="仿宋_GB2312" w:hint="eastAsia"/>
          <w:sz w:val="32"/>
          <w:szCs w:val="32"/>
        </w:rPr>
        <w:t>，</w:t>
      </w:r>
      <w:r>
        <w:rPr>
          <w:rFonts w:ascii="仿宋_GB2312" w:eastAsia="仿宋_GB2312" w:hint="eastAsia"/>
          <w:sz w:val="32"/>
          <w:szCs w:val="32"/>
        </w:rPr>
        <w:t>共计</w:t>
      </w:r>
      <w:r w:rsidR="00AA5147">
        <w:rPr>
          <w:rFonts w:ascii="仿宋_GB2312" w:eastAsia="仿宋_GB2312" w:hint="eastAsia"/>
          <w:sz w:val="32"/>
          <w:szCs w:val="32"/>
        </w:rPr>
        <w:t>33</w:t>
      </w:r>
      <w:r>
        <w:rPr>
          <w:rFonts w:ascii="仿宋_GB2312" w:eastAsia="仿宋_GB2312" w:hint="eastAsia"/>
          <w:sz w:val="32"/>
          <w:szCs w:val="32"/>
        </w:rPr>
        <w:t>个单位反馈了意见，其中：</w:t>
      </w:r>
      <w:r w:rsidR="009A487F">
        <w:rPr>
          <w:rFonts w:ascii="仿宋_GB2312" w:eastAsia="仿宋_GB2312" w:hint="eastAsia"/>
          <w:sz w:val="32"/>
          <w:szCs w:val="32"/>
        </w:rPr>
        <w:t>13</w:t>
      </w:r>
      <w:r>
        <w:rPr>
          <w:rFonts w:ascii="仿宋_GB2312" w:eastAsia="仿宋_GB2312" w:hint="eastAsia"/>
          <w:sz w:val="32"/>
          <w:szCs w:val="32"/>
        </w:rPr>
        <w:t>个单位提出修改意见，</w:t>
      </w:r>
      <w:r w:rsidR="00AA5147">
        <w:rPr>
          <w:rFonts w:ascii="仿宋_GB2312" w:eastAsia="仿宋_GB2312" w:hint="eastAsia"/>
          <w:sz w:val="32"/>
          <w:szCs w:val="32"/>
        </w:rPr>
        <w:t>20</w:t>
      </w:r>
      <w:r>
        <w:rPr>
          <w:rFonts w:ascii="仿宋_GB2312" w:eastAsia="仿宋_GB2312" w:hint="eastAsia"/>
          <w:sz w:val="32"/>
          <w:szCs w:val="32"/>
        </w:rPr>
        <w:t>个单位无意见，现将意见及采纳情况汇总如下：</w:t>
      </w:r>
    </w:p>
    <w:tbl>
      <w:tblPr>
        <w:tblW w:w="13590" w:type="dxa"/>
        <w:jc w:val="center"/>
        <w:tblInd w:w="-3542" w:type="dxa"/>
        <w:tblLayout w:type="fixed"/>
        <w:tblLook w:val="04A0"/>
      </w:tblPr>
      <w:tblGrid>
        <w:gridCol w:w="645"/>
        <w:gridCol w:w="2220"/>
        <w:gridCol w:w="8032"/>
        <w:gridCol w:w="1417"/>
        <w:gridCol w:w="1276"/>
      </w:tblGrid>
      <w:tr w:rsidR="002A7B18" w:rsidTr="004E5FB6">
        <w:trPr>
          <w:cantSplit/>
          <w:trHeight w:val="730"/>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2A7B18" w:rsidRDefault="002A7B18">
            <w:pPr>
              <w:spacing w:line="280" w:lineRule="exact"/>
              <w:jc w:val="center"/>
              <w:rPr>
                <w:rFonts w:eastAsia="方正仿宋_GBK"/>
                <w:b/>
                <w:bCs/>
              </w:rPr>
            </w:pPr>
            <w:r>
              <w:rPr>
                <w:rFonts w:ascii="宋体" w:hAnsi="宋体" w:cs="宋体" w:hint="eastAsia"/>
                <w:b/>
                <w:bCs/>
              </w:rPr>
              <w:t>序号</w:t>
            </w:r>
          </w:p>
        </w:tc>
        <w:tc>
          <w:tcPr>
            <w:tcW w:w="2220" w:type="dxa"/>
            <w:tcBorders>
              <w:top w:val="single" w:sz="4" w:space="0" w:color="auto"/>
              <w:left w:val="nil"/>
              <w:bottom w:val="single" w:sz="4" w:space="0" w:color="auto"/>
              <w:right w:val="single" w:sz="4" w:space="0" w:color="auto"/>
            </w:tcBorders>
            <w:vAlign w:val="center"/>
            <w:hideMark/>
          </w:tcPr>
          <w:p w:rsidR="002A7B18" w:rsidRDefault="002A7B18">
            <w:pPr>
              <w:spacing w:line="280" w:lineRule="exact"/>
              <w:jc w:val="center"/>
              <w:rPr>
                <w:rFonts w:eastAsia="方正仿宋_GBK"/>
                <w:b/>
                <w:bCs/>
              </w:rPr>
            </w:pPr>
            <w:r>
              <w:rPr>
                <w:rFonts w:ascii="宋体" w:hAnsi="宋体" w:cs="宋体" w:hint="eastAsia"/>
                <w:b/>
                <w:bCs/>
              </w:rPr>
              <w:t>单位</w:t>
            </w:r>
          </w:p>
        </w:tc>
        <w:tc>
          <w:tcPr>
            <w:tcW w:w="8032" w:type="dxa"/>
            <w:tcBorders>
              <w:top w:val="single" w:sz="4" w:space="0" w:color="auto"/>
              <w:left w:val="nil"/>
              <w:bottom w:val="single" w:sz="4" w:space="0" w:color="auto"/>
              <w:right w:val="single" w:sz="4" w:space="0" w:color="auto"/>
            </w:tcBorders>
            <w:vAlign w:val="center"/>
            <w:hideMark/>
          </w:tcPr>
          <w:p w:rsidR="002A7B18" w:rsidRDefault="002A7B18">
            <w:pPr>
              <w:spacing w:line="280" w:lineRule="exact"/>
              <w:jc w:val="center"/>
              <w:rPr>
                <w:rFonts w:eastAsia="方正仿宋_GBK"/>
                <w:b/>
                <w:bCs/>
              </w:rPr>
            </w:pPr>
            <w:r>
              <w:rPr>
                <w:rFonts w:ascii="宋体" w:hAnsi="宋体" w:cs="宋体" w:hint="eastAsia"/>
                <w:b/>
                <w:bCs/>
              </w:rPr>
              <w:t>意见</w:t>
            </w:r>
          </w:p>
        </w:tc>
        <w:tc>
          <w:tcPr>
            <w:tcW w:w="1417" w:type="dxa"/>
            <w:tcBorders>
              <w:top w:val="single" w:sz="4" w:space="0" w:color="auto"/>
              <w:left w:val="nil"/>
              <w:bottom w:val="nil"/>
              <w:right w:val="single" w:sz="4" w:space="0" w:color="auto"/>
            </w:tcBorders>
            <w:vAlign w:val="center"/>
            <w:hideMark/>
          </w:tcPr>
          <w:p w:rsidR="002A7B18" w:rsidRDefault="002A7B18">
            <w:pPr>
              <w:spacing w:line="280" w:lineRule="exact"/>
              <w:jc w:val="center"/>
              <w:rPr>
                <w:rFonts w:eastAsia="方正仿宋_GBK"/>
                <w:b/>
                <w:bCs/>
              </w:rPr>
            </w:pPr>
            <w:r>
              <w:rPr>
                <w:rFonts w:ascii="宋体" w:hAnsi="宋体" w:cs="宋体" w:hint="eastAsia"/>
                <w:b/>
                <w:bCs/>
              </w:rPr>
              <w:t>采纳情况</w:t>
            </w:r>
          </w:p>
        </w:tc>
        <w:tc>
          <w:tcPr>
            <w:tcW w:w="1276" w:type="dxa"/>
            <w:tcBorders>
              <w:top w:val="single" w:sz="4" w:space="0" w:color="auto"/>
              <w:left w:val="nil"/>
              <w:bottom w:val="single" w:sz="4" w:space="0" w:color="auto"/>
              <w:right w:val="single" w:sz="4" w:space="0" w:color="auto"/>
            </w:tcBorders>
            <w:vAlign w:val="center"/>
            <w:hideMark/>
          </w:tcPr>
          <w:p w:rsidR="002A7B18" w:rsidRDefault="002A7B18">
            <w:pPr>
              <w:spacing w:line="280" w:lineRule="exact"/>
              <w:jc w:val="center"/>
              <w:rPr>
                <w:rFonts w:ascii="方正仿宋_GBK" w:hAnsi="方正仿宋_GBK"/>
                <w:b/>
                <w:bCs/>
              </w:rPr>
            </w:pPr>
            <w:r>
              <w:rPr>
                <w:rFonts w:ascii="方正仿宋_GBK" w:hAnsi="方正仿宋_GBK" w:hint="eastAsia"/>
                <w:b/>
                <w:bCs/>
              </w:rPr>
              <w:t>备注</w:t>
            </w:r>
          </w:p>
        </w:tc>
      </w:tr>
      <w:tr w:rsidR="002A7B18" w:rsidTr="00F93B21">
        <w:trPr>
          <w:cantSplit/>
          <w:trHeight w:val="422"/>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2A7B18" w:rsidRDefault="002A7B18">
            <w:pPr>
              <w:spacing w:line="280" w:lineRule="exact"/>
              <w:jc w:val="center"/>
              <w:rPr>
                <w:rFonts w:ascii="方正仿宋_GBK" w:hAnsi="方正仿宋_GBK"/>
              </w:rPr>
            </w:pPr>
            <w:r>
              <w:rPr>
                <w:rFonts w:ascii="方正仿宋_GBK" w:hAnsi="方正仿宋_GBK" w:hint="eastAsia"/>
              </w:rPr>
              <w:t>1</w:t>
            </w:r>
          </w:p>
        </w:tc>
        <w:tc>
          <w:tcPr>
            <w:tcW w:w="2220" w:type="dxa"/>
            <w:tcBorders>
              <w:top w:val="single" w:sz="4" w:space="0" w:color="auto"/>
              <w:left w:val="nil"/>
              <w:bottom w:val="single" w:sz="4" w:space="0" w:color="auto"/>
              <w:right w:val="single" w:sz="4" w:space="0" w:color="auto"/>
            </w:tcBorders>
            <w:vAlign w:val="center"/>
          </w:tcPr>
          <w:p w:rsidR="002A7B18" w:rsidRDefault="002A7B18">
            <w:pPr>
              <w:rPr>
                <w:rFonts w:asciiTheme="minorEastAsia" w:hAnsiTheme="minorEastAsia" w:cs="仿宋_GB2312"/>
                <w:szCs w:val="21"/>
              </w:rPr>
            </w:pPr>
            <w:r>
              <w:rPr>
                <w:rFonts w:asciiTheme="minorEastAsia" w:hAnsiTheme="minorEastAsia" w:hint="eastAsia"/>
                <w:szCs w:val="21"/>
              </w:rPr>
              <w:t>柳州市</w:t>
            </w:r>
            <w:r>
              <w:rPr>
                <w:rFonts w:asciiTheme="minorEastAsia" w:hAnsiTheme="minorEastAsia" w:cs="仿宋_GB2312" w:hint="eastAsia"/>
                <w:szCs w:val="21"/>
              </w:rPr>
              <w:t>住房和城乡建设局</w:t>
            </w:r>
          </w:p>
          <w:p w:rsidR="002A7B18" w:rsidRDefault="002A7B18">
            <w:pPr>
              <w:jc w:val="center"/>
              <w:rPr>
                <w:rFonts w:asciiTheme="minorEastAsia" w:hAnsiTheme="minorEastAsia"/>
                <w:szCs w:val="21"/>
              </w:rPr>
            </w:pPr>
          </w:p>
        </w:tc>
        <w:tc>
          <w:tcPr>
            <w:tcW w:w="8032" w:type="dxa"/>
            <w:tcBorders>
              <w:top w:val="single" w:sz="4" w:space="0" w:color="auto"/>
              <w:left w:val="nil"/>
              <w:bottom w:val="single" w:sz="4" w:space="0" w:color="auto"/>
              <w:right w:val="single" w:sz="4" w:space="0" w:color="auto"/>
            </w:tcBorders>
            <w:vAlign w:val="center"/>
            <w:hideMark/>
          </w:tcPr>
          <w:p w:rsidR="002A7B18" w:rsidRDefault="002A7B18">
            <w:pPr>
              <w:rPr>
                <w:rFonts w:asciiTheme="minorEastAsia" w:hAnsiTheme="minorEastAsia" w:cs="仿宋_GB2312"/>
                <w:szCs w:val="21"/>
              </w:rPr>
            </w:pPr>
            <w:r>
              <w:rPr>
                <w:rFonts w:asciiTheme="minorEastAsia" w:hAnsiTheme="minorEastAsia" w:cs="仿宋_GB2312" w:hint="eastAsia"/>
                <w:szCs w:val="21"/>
              </w:rPr>
              <w:t>一、建议删除原暂行裁量基准中的涉及《物业服务企业资质管理办法》D109.19-D109.21的相关内容。理由：物业服务企业资质已经国务院发文予以取消。二、建议删除修订表中第4页“《中华人民共和国消防法》B201.58.4”、</w:t>
            </w:r>
            <w:r>
              <w:rPr>
                <w:rFonts w:asciiTheme="minorEastAsia" w:hAnsiTheme="minorEastAsia" w:cs="仿宋_GB2312" w:hint="eastAsia"/>
                <w:color w:val="333333"/>
                <w:szCs w:val="21"/>
                <w:shd w:val="clear" w:color="auto" w:fill="FFFFFF"/>
              </w:rPr>
              <w:t>第12页“B201.60.3”、第13页“B201.60.4”</w:t>
            </w:r>
            <w:r>
              <w:rPr>
                <w:rFonts w:asciiTheme="minorEastAsia" w:hAnsiTheme="minorEastAsia" w:cs="仿宋_GB2312" w:hint="eastAsia"/>
                <w:szCs w:val="21"/>
              </w:rPr>
              <w:t>、</w:t>
            </w:r>
            <w:r>
              <w:rPr>
                <w:rFonts w:asciiTheme="minorEastAsia" w:hAnsiTheme="minorEastAsia" w:cs="仿宋_GB2312" w:hint="eastAsia"/>
                <w:color w:val="333333"/>
                <w:szCs w:val="21"/>
                <w:shd w:val="clear" w:color="auto" w:fill="FFFFFF"/>
              </w:rPr>
              <w:t>第14页“B201.61”</w:t>
            </w:r>
            <w:r>
              <w:rPr>
                <w:rFonts w:asciiTheme="minorEastAsia" w:hAnsiTheme="minorEastAsia" w:cs="仿宋_GB2312" w:hint="eastAsia"/>
                <w:szCs w:val="21"/>
              </w:rPr>
              <w:t>理由：</w:t>
            </w:r>
            <w:r>
              <w:rPr>
                <w:rFonts w:asciiTheme="minorEastAsia" w:hAnsiTheme="minorEastAsia" w:cs="仿宋_GB2312" w:hint="eastAsia"/>
                <w:color w:val="333333"/>
                <w:szCs w:val="21"/>
                <w:shd w:val="clear" w:color="auto" w:fill="FFFFFF"/>
              </w:rPr>
              <w:t>不属住</w:t>
            </w:r>
            <w:proofErr w:type="gramStart"/>
            <w:r>
              <w:rPr>
                <w:rFonts w:asciiTheme="minorEastAsia" w:hAnsiTheme="minorEastAsia" w:cs="仿宋_GB2312" w:hint="eastAsia"/>
                <w:color w:val="333333"/>
                <w:szCs w:val="21"/>
                <w:shd w:val="clear" w:color="auto" w:fill="FFFFFF"/>
              </w:rPr>
              <w:t>建部门</w:t>
            </w:r>
            <w:proofErr w:type="gramEnd"/>
            <w:r>
              <w:rPr>
                <w:rFonts w:asciiTheme="minorEastAsia" w:hAnsiTheme="minorEastAsia" w:cs="仿宋_GB2312" w:hint="eastAsia"/>
                <w:color w:val="333333"/>
                <w:szCs w:val="21"/>
                <w:shd w:val="clear" w:color="auto" w:fill="FFFFFF"/>
              </w:rPr>
              <w:t>职责，应属消防部门。三、建议增加“防雷房屋建筑工程和市政基础设施工程防雷装置设计审核、竣工验收许可”对应的行政处罚自由裁量基准。</w:t>
            </w:r>
            <w:bookmarkStart w:id="0" w:name="_GoBack"/>
            <w:bookmarkEnd w:id="0"/>
            <w:r>
              <w:rPr>
                <w:rFonts w:asciiTheme="minorEastAsia" w:hAnsiTheme="minorEastAsia" w:cs="仿宋_GB2312" w:hint="eastAsia"/>
                <w:color w:val="333333"/>
                <w:szCs w:val="21"/>
                <w:shd w:val="clear" w:color="auto" w:fill="FFFFFF"/>
              </w:rPr>
              <w:t>理由：根据《国务院取消气象部门对防雷专业工程设计、施工单位资质许可的决定</w:t>
            </w:r>
            <w:r w:rsidR="00B65B80">
              <w:rPr>
                <w:rFonts w:asciiTheme="minorEastAsia" w:hAnsiTheme="minorEastAsia" w:cs="仿宋_GB2312" w:hint="eastAsia"/>
                <w:color w:val="333333"/>
                <w:szCs w:val="21"/>
                <w:shd w:val="clear" w:color="auto" w:fill="FFFFFF"/>
              </w:rPr>
              <w:t>》</w:t>
            </w:r>
            <w:r>
              <w:rPr>
                <w:rFonts w:asciiTheme="minorEastAsia" w:hAnsiTheme="minorEastAsia" w:cs="仿宋_GB2312" w:hint="eastAsia"/>
                <w:color w:val="333333"/>
                <w:szCs w:val="21"/>
                <w:shd w:val="clear" w:color="auto" w:fill="FFFFFF"/>
              </w:rPr>
              <w:t>（ 国发〔2016〕39号）“一、整合部分建设工程防雷许可（一）将气象部门承担的房屋建筑工程和市政基础设施工程防雷装置设计审核、竣工验收许可，整合纳入建筑工程施工图审查、竣工验收备案，统一由住房城乡建设部门监管，切实优化流程、缩短时限、提高效率。”相关职能已并</w:t>
            </w:r>
            <w:proofErr w:type="gramStart"/>
            <w:r>
              <w:rPr>
                <w:rFonts w:asciiTheme="minorEastAsia" w:hAnsiTheme="minorEastAsia" w:cs="仿宋_GB2312" w:hint="eastAsia"/>
                <w:color w:val="333333"/>
                <w:szCs w:val="21"/>
                <w:shd w:val="clear" w:color="auto" w:fill="FFFFFF"/>
              </w:rPr>
              <w:t>入住建部门</w:t>
            </w:r>
            <w:proofErr w:type="gramEnd"/>
            <w:r>
              <w:rPr>
                <w:rFonts w:asciiTheme="minorEastAsia" w:hAnsiTheme="minorEastAsia" w:cs="仿宋_GB2312" w:hint="eastAsia"/>
                <w:color w:val="333333"/>
                <w:szCs w:val="21"/>
                <w:shd w:val="clear" w:color="auto" w:fill="FFFFFF"/>
              </w:rPr>
              <w:t>审查。</w:t>
            </w:r>
          </w:p>
        </w:tc>
        <w:tc>
          <w:tcPr>
            <w:tcW w:w="1417" w:type="dxa"/>
            <w:tcBorders>
              <w:top w:val="single" w:sz="4" w:space="0" w:color="auto"/>
              <w:left w:val="nil"/>
              <w:bottom w:val="single" w:sz="4" w:space="0" w:color="auto"/>
              <w:right w:val="single" w:sz="4" w:space="0" w:color="auto"/>
            </w:tcBorders>
            <w:vAlign w:val="center"/>
            <w:hideMark/>
          </w:tcPr>
          <w:p w:rsidR="002A7B18" w:rsidRDefault="002A7B18">
            <w:pPr>
              <w:spacing w:line="280" w:lineRule="exact"/>
              <w:jc w:val="center"/>
              <w:rPr>
                <w:rFonts w:ascii="方正仿宋_GBK" w:hAnsi="方正仿宋_GBK"/>
              </w:rPr>
            </w:pPr>
            <w:r>
              <w:rPr>
                <w:rFonts w:ascii="方正仿宋_GBK" w:hAnsi="方正仿宋_GBK" w:hint="eastAsia"/>
              </w:rPr>
              <w:t>采纳</w:t>
            </w:r>
          </w:p>
        </w:tc>
        <w:tc>
          <w:tcPr>
            <w:tcW w:w="1276" w:type="dxa"/>
            <w:tcBorders>
              <w:top w:val="single" w:sz="4" w:space="0" w:color="auto"/>
              <w:left w:val="nil"/>
              <w:bottom w:val="single" w:sz="4" w:space="0" w:color="auto"/>
              <w:right w:val="single" w:sz="4" w:space="0" w:color="auto"/>
            </w:tcBorders>
            <w:vAlign w:val="center"/>
          </w:tcPr>
          <w:p w:rsidR="002A7B18" w:rsidRDefault="002A7B18">
            <w:pPr>
              <w:spacing w:line="280" w:lineRule="exact"/>
              <w:rPr>
                <w:rFonts w:ascii="方正仿宋_GBK" w:hAnsi="方正仿宋_GBK"/>
              </w:rPr>
            </w:pPr>
          </w:p>
        </w:tc>
      </w:tr>
      <w:tr w:rsidR="00F93B21" w:rsidTr="00F93B21">
        <w:trPr>
          <w:cantSplit/>
          <w:trHeight w:val="422"/>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F93B21" w:rsidRDefault="009A487F">
            <w:pPr>
              <w:spacing w:line="280" w:lineRule="exact"/>
              <w:jc w:val="center"/>
              <w:rPr>
                <w:rFonts w:ascii="方正仿宋_GBK" w:hAnsi="方正仿宋_GBK"/>
              </w:rPr>
            </w:pPr>
            <w:r>
              <w:rPr>
                <w:rFonts w:ascii="方正仿宋_GBK" w:hAnsi="方正仿宋_GBK" w:hint="eastAsia"/>
              </w:rPr>
              <w:lastRenderedPageBreak/>
              <w:t>2</w:t>
            </w:r>
          </w:p>
        </w:tc>
        <w:tc>
          <w:tcPr>
            <w:tcW w:w="2220" w:type="dxa"/>
            <w:tcBorders>
              <w:top w:val="single" w:sz="4" w:space="0" w:color="auto"/>
              <w:left w:val="nil"/>
              <w:bottom w:val="single" w:sz="4" w:space="0" w:color="auto"/>
              <w:right w:val="single" w:sz="4" w:space="0" w:color="auto"/>
            </w:tcBorders>
            <w:vAlign w:val="center"/>
          </w:tcPr>
          <w:p w:rsidR="00F93B21" w:rsidRPr="00F93B21" w:rsidRDefault="00F93B21" w:rsidP="000A1DA7">
            <w:pPr>
              <w:spacing w:line="260" w:lineRule="exact"/>
              <w:jc w:val="center"/>
              <w:rPr>
                <w:rFonts w:ascii="宋体" w:hAnsi="宋体" w:cs="宋体"/>
                <w:bCs/>
              </w:rPr>
            </w:pPr>
            <w:r w:rsidRPr="00F93B21">
              <w:rPr>
                <w:rFonts w:ascii="宋体" w:hAnsi="宋体" w:cs="宋体" w:hint="eastAsia"/>
                <w:bCs/>
              </w:rPr>
              <w:t>南宁市城管局</w:t>
            </w:r>
          </w:p>
        </w:tc>
        <w:tc>
          <w:tcPr>
            <w:tcW w:w="8032" w:type="dxa"/>
            <w:tcBorders>
              <w:top w:val="single" w:sz="4" w:space="0" w:color="auto"/>
              <w:left w:val="nil"/>
              <w:bottom w:val="single" w:sz="4" w:space="0" w:color="auto"/>
              <w:right w:val="single" w:sz="4" w:space="0" w:color="auto"/>
            </w:tcBorders>
            <w:vAlign w:val="center"/>
            <w:hideMark/>
          </w:tcPr>
          <w:p w:rsidR="00F93B21" w:rsidRPr="00F93B21" w:rsidRDefault="00F93B21" w:rsidP="000A1DA7">
            <w:pPr>
              <w:spacing w:line="240" w:lineRule="exact"/>
              <w:rPr>
                <w:rFonts w:asciiTheme="minorEastAsia" w:hAnsiTheme="minorEastAsia"/>
                <w:szCs w:val="21"/>
              </w:rPr>
            </w:pPr>
            <w:r w:rsidRPr="0076442C">
              <w:rPr>
                <w:rFonts w:asciiTheme="minorEastAsia" w:hAnsiTheme="minorEastAsia" w:hint="eastAsia"/>
                <w:szCs w:val="21"/>
              </w:rPr>
              <w:t>一、关于违法情节及后果的认定，将整改后未达到预期效果的认定为一般情节；将造成人身伤害、财产损害、社会危害的程度认定为严重情节。二、关于《城镇排水与污水处理条例》</w:t>
            </w:r>
            <w:r w:rsidRPr="0076442C">
              <w:rPr>
                <w:rFonts w:asciiTheme="minorEastAsia" w:hAnsiTheme="minorEastAsia"/>
                <w:szCs w:val="21"/>
              </w:rPr>
              <w:t>C203.50.1</w:t>
            </w:r>
            <w:r w:rsidRPr="0076442C">
              <w:rPr>
                <w:rFonts w:asciiTheme="minorEastAsia" w:hAnsiTheme="minorEastAsia" w:hint="eastAsia"/>
                <w:szCs w:val="21"/>
              </w:rPr>
              <w:t>，违法情节及后果涉及排水量的认定方法，建议以两种形式进行认定：（1）以违法行为的时间长短界定，违法行为在1或3个月的认定为轻微情节，违法行为在3或6个月的认定为一般情节，违法行为在3或6个月以上的认定为严重情节。（2）因污水排放量的多少在实际调查中无法准确取证，建议按照绿城水</w:t>
            </w:r>
            <w:proofErr w:type="gramStart"/>
            <w:r w:rsidRPr="0076442C">
              <w:rPr>
                <w:rFonts w:asciiTheme="minorEastAsia" w:hAnsiTheme="minorEastAsia" w:hint="eastAsia"/>
                <w:szCs w:val="21"/>
              </w:rPr>
              <w:t>务</w:t>
            </w:r>
            <w:proofErr w:type="gramEnd"/>
            <w:r w:rsidRPr="0076442C">
              <w:rPr>
                <w:rFonts w:asciiTheme="minorEastAsia" w:hAnsiTheme="minorEastAsia" w:hint="eastAsia"/>
                <w:szCs w:val="21"/>
              </w:rPr>
              <w:t>提供的实际用水量50%计量企业的排水量。理由：从法理上说，该行为条款“排水户未取得污水排入排水管网许可证向城镇排水设施排放污水”，立法本意</w:t>
            </w:r>
            <w:proofErr w:type="gramStart"/>
            <w:r w:rsidRPr="0076442C">
              <w:rPr>
                <w:rFonts w:asciiTheme="minorEastAsia" w:hAnsiTheme="minorEastAsia" w:hint="eastAsia"/>
                <w:szCs w:val="21"/>
              </w:rPr>
              <w:t>为处罚</w:t>
            </w:r>
            <w:proofErr w:type="gramEnd"/>
            <w:r w:rsidRPr="0076442C">
              <w:rPr>
                <w:rFonts w:asciiTheme="minorEastAsia" w:hAnsiTheme="minorEastAsia" w:hint="eastAsia"/>
                <w:szCs w:val="21"/>
              </w:rPr>
              <w:t>违法行为，并不要求违法的程度，主要发生了这样的违法行为即可处罚。三、《裁量基准增减修订表》修改意见：1、《中华人民共和国消防法》中，以B201.58.1为例，处罚依据是“《中华人民共和国消防法》第五十八条第一款第（一）项违反本法规定，有下列行为之一的，由住房和城乡建设主管部门、消防救援机构按照各自职权责令停止施工、停止使用或者停产停业，并处三万元以上三十万元以下罚款：……”，从法律表述上来说，“停止施工、停止使用”为责令改正的要求，“停产停业”则为行政处罚，那么在裁量基准中并没有把“停产停业”纳入“行政处罚裁量基准”栏中表述。而在B201.58.4中，还将“停产停业”列为“其他处理”栏。2、“其他处理”栏的表述不规范，“其他处理”究竟属于行政处罚、行政强制，还是整改要求。四、《城市房地产开发经营管理条例》于2019年3月24日根据国务院第710号令第三次修订，删掉第十八条、三十六条、三十七条：1、涉及到三十六条、三十七条的D101.36.1、D101.36.2应删除；2、D101.35对应的处罚依据应由第三十五条改为第三十四条；3、 D101.39违反条款由第二十三条第四项改为第二十二条第四项，处罚依据由三十九条改为第三十六条。五、因《城市房地产开发经营管理条例》进行修订，《城市商品房预售管理办法》D102.13 处罚依据中所依据的《城市房地产开发经营管理条例》第三十九条应改为三十六条。六、因《物业管理条例》根据2018年3月19日《国务院关于修改和废止部分行政法规的决定》第三次修订，删去第五十九条：1、 D106.59.1、D106.59.2应删除。2、D106.60  处罚依据第六十条改为五十九条，且删去“情节严重的，由颁发资质证书的部门吊销资质证书”。3、D106.61 处罚依据第六十一条改为六十条，删去“物业服务企业挪用专项维修资金，情节严重的，并由颁发资质证书的部门吊销资质证书”。4、D106.62  处罚依据第六十二条改为六十一条。5、D106.63 处罚依据第六十三条改为六十二条。6、D106.64.1 处罚依据第六十四条改为六十三条。7、D106.64.2处罚依据第六十四条改为六十三条。8、D106.64.3 处罚依据第六十四条改为六十三条。七、《物业服务企业资质管理办法》已废止，相应裁量基准应删除。</w:t>
            </w:r>
          </w:p>
        </w:tc>
        <w:tc>
          <w:tcPr>
            <w:tcW w:w="1417" w:type="dxa"/>
            <w:tcBorders>
              <w:top w:val="single" w:sz="4" w:space="0" w:color="auto"/>
              <w:left w:val="nil"/>
              <w:bottom w:val="single" w:sz="4" w:space="0" w:color="auto"/>
              <w:right w:val="single" w:sz="4" w:space="0" w:color="auto"/>
            </w:tcBorders>
            <w:vAlign w:val="center"/>
            <w:hideMark/>
          </w:tcPr>
          <w:p w:rsidR="00F93B21" w:rsidRDefault="00A46CFA">
            <w:pPr>
              <w:spacing w:line="280" w:lineRule="exact"/>
              <w:jc w:val="center"/>
              <w:rPr>
                <w:rFonts w:ascii="方正仿宋_GBK" w:hAnsi="方正仿宋_GBK"/>
              </w:rPr>
            </w:pPr>
            <w:r>
              <w:rPr>
                <w:rFonts w:ascii="方正仿宋_GBK" w:hAnsi="方正仿宋_GBK" w:hint="eastAsia"/>
              </w:rPr>
              <w:t>采纳</w:t>
            </w:r>
          </w:p>
        </w:tc>
        <w:tc>
          <w:tcPr>
            <w:tcW w:w="1276" w:type="dxa"/>
            <w:tcBorders>
              <w:top w:val="single" w:sz="4" w:space="0" w:color="auto"/>
              <w:left w:val="nil"/>
              <w:bottom w:val="single" w:sz="4" w:space="0" w:color="auto"/>
              <w:right w:val="single" w:sz="4" w:space="0" w:color="auto"/>
            </w:tcBorders>
            <w:vAlign w:val="center"/>
          </w:tcPr>
          <w:p w:rsidR="00F93B21" w:rsidRDefault="00F93B21">
            <w:pPr>
              <w:spacing w:line="280" w:lineRule="exact"/>
              <w:rPr>
                <w:rFonts w:ascii="方正仿宋_GBK" w:hAnsi="方正仿宋_GBK"/>
              </w:rPr>
            </w:pPr>
          </w:p>
        </w:tc>
      </w:tr>
      <w:tr w:rsidR="00F93B21" w:rsidTr="00F93B21">
        <w:trPr>
          <w:cantSplit/>
          <w:trHeight w:val="42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spacing w:line="280" w:lineRule="exact"/>
              <w:jc w:val="center"/>
              <w:rPr>
                <w:rFonts w:ascii="方正仿宋_GBK" w:hAnsi="方正仿宋_GBK"/>
              </w:rPr>
            </w:pPr>
            <w:r>
              <w:rPr>
                <w:rFonts w:ascii="方正仿宋_GBK" w:hAnsi="方正仿宋_GBK" w:hint="eastAsia"/>
              </w:rPr>
              <w:lastRenderedPageBreak/>
              <w:t>3</w:t>
            </w:r>
          </w:p>
        </w:tc>
        <w:tc>
          <w:tcPr>
            <w:tcW w:w="2220" w:type="dxa"/>
            <w:tcBorders>
              <w:top w:val="single" w:sz="4" w:space="0" w:color="auto"/>
              <w:left w:val="nil"/>
              <w:bottom w:val="single" w:sz="4" w:space="0" w:color="auto"/>
              <w:right w:val="single" w:sz="4" w:space="0" w:color="auto"/>
            </w:tcBorders>
            <w:vAlign w:val="center"/>
          </w:tcPr>
          <w:p w:rsidR="00F93B21" w:rsidRDefault="00F93B21">
            <w:pPr>
              <w:spacing w:line="560" w:lineRule="exact"/>
              <w:jc w:val="center"/>
              <w:rPr>
                <w:rFonts w:ascii="宋体" w:eastAsia="宋体" w:hAnsi="宋体" w:cs="Times New Roman"/>
                <w:szCs w:val="21"/>
              </w:rPr>
            </w:pPr>
            <w:r>
              <w:rPr>
                <w:rFonts w:ascii="宋体" w:eastAsia="宋体" w:hAnsi="宋体" w:cs="Times New Roman" w:hint="eastAsia"/>
                <w:szCs w:val="21"/>
              </w:rPr>
              <w:t>柳州市城市管理行政执法局</w:t>
            </w:r>
          </w:p>
          <w:p w:rsidR="00F93B21" w:rsidRDefault="00F93B21">
            <w:pPr>
              <w:rPr>
                <w:rFonts w:asciiTheme="minorEastAsia" w:hAnsiTheme="minorEastAsia"/>
                <w:szCs w:val="21"/>
              </w:rPr>
            </w:pP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pStyle w:val="a4"/>
              <w:wordWrap w:val="0"/>
              <w:spacing w:before="0" w:beforeAutospacing="0" w:after="0" w:afterAutospacing="0"/>
              <w:ind w:firstLineChars="200" w:firstLine="420"/>
              <w:rPr>
                <w:rFonts w:cs="黑体"/>
                <w:b/>
                <w:bCs/>
                <w:kern w:val="2"/>
                <w:sz w:val="21"/>
                <w:szCs w:val="21"/>
              </w:rPr>
            </w:pPr>
            <w:r>
              <w:rPr>
                <w:rFonts w:cs="黑体" w:hint="eastAsia"/>
                <w:kern w:val="2"/>
                <w:sz w:val="21"/>
                <w:szCs w:val="21"/>
              </w:rPr>
              <w:t>一、建议征求意见稿的所有条款内容更新为2019年版本。</w:t>
            </w:r>
          </w:p>
          <w:p w:rsidR="00F93B21" w:rsidRDefault="00F93B21">
            <w:pPr>
              <w:pStyle w:val="a4"/>
              <w:wordWrap w:val="0"/>
              <w:spacing w:before="0" w:beforeAutospacing="0" w:after="0" w:afterAutospacing="0"/>
              <w:ind w:firstLineChars="200" w:firstLine="420"/>
              <w:rPr>
                <w:kern w:val="2"/>
                <w:sz w:val="21"/>
                <w:szCs w:val="21"/>
              </w:rPr>
            </w:pPr>
            <w:r>
              <w:rPr>
                <w:rFonts w:hint="eastAsia"/>
                <w:kern w:val="2"/>
                <w:sz w:val="21"/>
                <w:szCs w:val="21"/>
              </w:rPr>
              <w:t xml:space="preserve">《广西住房城乡建设系统行政处罚自由裁量权基准（暂行）》（征求意见稿）中具体自由裁量内容，是以2017年6月有效的版本进行调整的，相关的法律法规等，与目前实施的版本有较大不同，期间许多法律法规已经修订、更改，如《广西壮族自治区实施&lt;城市市容和环境卫生管理条例&gt;办法》，已于2018年8月9日广西壮族自治区人民政府令第128号第二次修正增加条款，对应的处罚条款也进行了调整；《招标投标法》、《物业管理条例》已于2018年3月19日《国务院关于修改和废止部分行政法规的决定》（国务院令第698号）修订，调整了一些内容；而征求意见稿中，仍使用2018年以前的条款，明显不恰当。建议重新进行梳理，避免造成该自由裁量无法实际使用。  </w:t>
            </w:r>
          </w:p>
          <w:p w:rsidR="00F93B21" w:rsidRDefault="00F93B21">
            <w:pPr>
              <w:pStyle w:val="a4"/>
              <w:wordWrap w:val="0"/>
              <w:spacing w:before="0" w:beforeAutospacing="0" w:after="0" w:afterAutospacing="0"/>
              <w:ind w:firstLineChars="200" w:firstLine="420"/>
              <w:rPr>
                <w:rFonts w:cs="黑体"/>
                <w:b/>
                <w:bCs/>
                <w:kern w:val="2"/>
                <w:sz w:val="21"/>
                <w:szCs w:val="21"/>
              </w:rPr>
            </w:pPr>
            <w:r>
              <w:rPr>
                <w:rFonts w:cs="黑体" w:hint="eastAsia"/>
                <w:kern w:val="2"/>
                <w:sz w:val="21"/>
                <w:szCs w:val="21"/>
              </w:rPr>
              <w:t>二、建议征求意见</w:t>
            </w:r>
            <w:proofErr w:type="gramStart"/>
            <w:r>
              <w:rPr>
                <w:rFonts w:cs="黑体" w:hint="eastAsia"/>
                <w:kern w:val="2"/>
                <w:sz w:val="21"/>
                <w:szCs w:val="21"/>
              </w:rPr>
              <w:t>稿继续</w:t>
            </w:r>
            <w:proofErr w:type="gramEnd"/>
            <w:r>
              <w:rPr>
                <w:rFonts w:cs="黑体" w:hint="eastAsia"/>
                <w:kern w:val="2"/>
                <w:sz w:val="21"/>
                <w:szCs w:val="21"/>
              </w:rPr>
              <w:t>增减修订内容</w:t>
            </w:r>
          </w:p>
          <w:p w:rsidR="00F93B21" w:rsidRDefault="00F93B21">
            <w:pPr>
              <w:pStyle w:val="a4"/>
              <w:wordWrap w:val="0"/>
              <w:spacing w:before="0" w:beforeAutospacing="0" w:after="0" w:afterAutospacing="0"/>
              <w:ind w:firstLineChars="200" w:firstLine="420"/>
              <w:rPr>
                <w:kern w:val="2"/>
                <w:sz w:val="21"/>
                <w:szCs w:val="21"/>
              </w:rPr>
            </w:pPr>
            <w:r>
              <w:rPr>
                <w:rFonts w:hint="eastAsia"/>
                <w:kern w:val="2"/>
                <w:sz w:val="21"/>
                <w:szCs w:val="21"/>
              </w:rPr>
              <w:t>征求意见稿中的附件3，增减修订了部分自由裁</w:t>
            </w:r>
            <w:proofErr w:type="gramStart"/>
            <w:r>
              <w:rPr>
                <w:rFonts w:hint="eastAsia"/>
                <w:kern w:val="2"/>
                <w:sz w:val="21"/>
                <w:szCs w:val="21"/>
              </w:rPr>
              <w:t>量内容</w:t>
            </w:r>
            <w:proofErr w:type="gramEnd"/>
            <w:r>
              <w:rPr>
                <w:rFonts w:hint="eastAsia"/>
                <w:kern w:val="2"/>
                <w:sz w:val="21"/>
                <w:szCs w:val="21"/>
              </w:rPr>
              <w:t>有限，但如新增加的《广西壮族自治区文明行为促进条例》《广西壮族自治区铁路安全管理条例》并未增加进入该意见稿内，建议增加，完善自由裁量标准。</w:t>
            </w:r>
          </w:p>
          <w:p w:rsidR="00F93B21" w:rsidRDefault="00F93B21">
            <w:pPr>
              <w:pStyle w:val="a4"/>
              <w:wordWrap w:val="0"/>
              <w:spacing w:before="0" w:beforeAutospacing="0" w:after="0" w:afterAutospacing="0"/>
              <w:ind w:firstLineChars="200" w:firstLine="420"/>
              <w:rPr>
                <w:rFonts w:cs="黑体"/>
                <w:b/>
                <w:bCs/>
                <w:kern w:val="2"/>
                <w:sz w:val="21"/>
                <w:szCs w:val="21"/>
              </w:rPr>
            </w:pPr>
            <w:r>
              <w:rPr>
                <w:rFonts w:cs="黑体" w:hint="eastAsia"/>
                <w:kern w:val="2"/>
                <w:sz w:val="21"/>
                <w:szCs w:val="21"/>
              </w:rPr>
              <w:t>三、建议将自由裁量权重情节和后果进行细化</w:t>
            </w:r>
          </w:p>
          <w:p w:rsidR="00F93B21" w:rsidRDefault="00F93B21">
            <w:pPr>
              <w:pStyle w:val="a4"/>
              <w:wordWrap w:val="0"/>
              <w:spacing w:before="0" w:beforeAutospacing="0" w:after="0" w:afterAutospacing="0"/>
              <w:ind w:firstLineChars="200" w:firstLine="420"/>
              <w:rPr>
                <w:rFonts w:asciiTheme="minorEastAsia" w:eastAsiaTheme="minorEastAsia" w:hAnsiTheme="minorEastAsia"/>
                <w:kern w:val="2"/>
                <w:sz w:val="21"/>
                <w:szCs w:val="21"/>
              </w:rPr>
            </w:pPr>
            <w:r>
              <w:rPr>
                <w:rFonts w:hint="eastAsia"/>
                <w:kern w:val="2"/>
                <w:sz w:val="21"/>
                <w:szCs w:val="21"/>
              </w:rPr>
              <w:t>在本次自由裁量权中，部分条款中的情节和后果没有细化，仅规定了造成轻微、一般、严重后果，三个情节的差别不易区分，不利于实际工作的开展，如《中华人民共和国大气污染防治法》B901.115.1造成的严重程度不易区分；《广西壮族自治区风景名胜条例》C104.43轻微到严重没有差别等。建议自由裁量权的情节和后果进行详细区分，如可以参考外地城管执法部门的规定，罚款数额应当依照违法情形相应的罚款基数与系数之积，再相继乘以情节系数和违法次数系数得出罚款金额，需要适用地段系数的，再乘以地段系数等，从而完善自由裁量权情节的界定。</w:t>
            </w:r>
          </w:p>
        </w:tc>
        <w:tc>
          <w:tcPr>
            <w:tcW w:w="1417" w:type="dxa"/>
            <w:tcBorders>
              <w:top w:val="single" w:sz="4" w:space="0" w:color="auto"/>
              <w:left w:val="nil"/>
              <w:bottom w:val="single" w:sz="4" w:space="0" w:color="auto"/>
              <w:right w:val="single" w:sz="4" w:space="0" w:color="auto"/>
            </w:tcBorders>
            <w:vAlign w:val="center"/>
          </w:tcPr>
          <w:p w:rsidR="00F93B21" w:rsidRDefault="00A46CFA">
            <w:pPr>
              <w:spacing w:line="280" w:lineRule="exact"/>
              <w:jc w:val="center"/>
              <w:rPr>
                <w:rFonts w:ascii="方正仿宋_GBK" w:hAnsi="方正仿宋_GBK"/>
              </w:rPr>
            </w:pPr>
            <w:r>
              <w:rPr>
                <w:rFonts w:ascii="方正仿宋_GBK" w:hAnsi="方正仿宋_GBK" w:hint="eastAsia"/>
              </w:rPr>
              <w:t>部分采纳</w:t>
            </w:r>
          </w:p>
        </w:tc>
        <w:tc>
          <w:tcPr>
            <w:tcW w:w="1276" w:type="dxa"/>
            <w:tcBorders>
              <w:top w:val="single" w:sz="4" w:space="0" w:color="auto"/>
              <w:left w:val="nil"/>
              <w:bottom w:val="single" w:sz="4" w:space="0" w:color="auto"/>
              <w:right w:val="single" w:sz="4" w:space="0" w:color="auto"/>
            </w:tcBorders>
            <w:vAlign w:val="center"/>
          </w:tcPr>
          <w:p w:rsidR="00F93B21" w:rsidRDefault="00F93B21">
            <w:pPr>
              <w:spacing w:line="280" w:lineRule="exact"/>
              <w:rPr>
                <w:rFonts w:ascii="方正仿宋_GBK" w:hAnsi="方正仿宋_GBK"/>
              </w:rPr>
            </w:pPr>
          </w:p>
        </w:tc>
      </w:tr>
      <w:tr w:rsidR="00F93B21" w:rsidTr="00F93B21">
        <w:trPr>
          <w:cantSplit/>
          <w:trHeight w:val="42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spacing w:line="280" w:lineRule="exact"/>
              <w:jc w:val="center"/>
              <w:rPr>
                <w:rFonts w:ascii="方正仿宋_GBK" w:hAnsi="方正仿宋_GBK"/>
              </w:rPr>
            </w:pPr>
            <w:r>
              <w:rPr>
                <w:rFonts w:ascii="方正仿宋_GBK" w:hAnsi="方正仿宋_GBK" w:hint="eastAsia"/>
              </w:rPr>
              <w:t>4</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rPr>
                <w:rFonts w:asciiTheme="minorEastAsia" w:hAnsiTheme="minorEastAsia"/>
                <w:szCs w:val="21"/>
              </w:rPr>
            </w:pPr>
            <w:r>
              <w:rPr>
                <w:rFonts w:asciiTheme="minorEastAsia" w:hAnsiTheme="minorEastAsia" w:hint="eastAsia"/>
                <w:szCs w:val="21"/>
              </w:rPr>
              <w:t>桂林市住房和城乡建设局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宋体" w:eastAsia="宋体" w:hAnsi="宋体" w:cs="Times New Roman"/>
                <w:snapToGrid w:val="0"/>
                <w:szCs w:val="21"/>
              </w:rPr>
            </w:pPr>
            <w:r>
              <w:rPr>
                <w:rFonts w:asciiTheme="minorEastAsia" w:hAnsiTheme="minorEastAsia" w:cs="Times New Roman" w:hint="eastAsia"/>
                <w:snapToGrid w:val="0"/>
                <w:szCs w:val="21"/>
              </w:rPr>
              <w:t>一、</w:t>
            </w:r>
            <w:r>
              <w:rPr>
                <w:rFonts w:ascii="宋体" w:eastAsia="宋体" w:hAnsi="宋体" w:cs="Times New Roman" w:hint="eastAsia"/>
                <w:snapToGrid w:val="0"/>
                <w:szCs w:val="21"/>
              </w:rPr>
              <w:t>建议将《国有土地上房屋征收与补偿条例》第三十四条纳入《广西住房城乡建设系统行政处罚自由裁量权基准》。</w:t>
            </w:r>
          </w:p>
          <w:p w:rsidR="00F93B21" w:rsidRDefault="00F93B21">
            <w:pPr>
              <w:rPr>
                <w:rFonts w:ascii="Times New Roman" w:eastAsia="仿宋_GB2312" w:hAnsi="Times New Roman" w:cs="Times New Roman"/>
                <w:snapToGrid w:val="0"/>
                <w:sz w:val="32"/>
                <w:szCs w:val="32"/>
              </w:rPr>
            </w:pPr>
            <w:r>
              <w:rPr>
                <w:rFonts w:asciiTheme="minorEastAsia" w:hAnsiTheme="minorEastAsia" w:cs="Times New Roman" w:hint="eastAsia"/>
                <w:snapToGrid w:val="0"/>
                <w:szCs w:val="21"/>
              </w:rPr>
              <w:t>二、</w:t>
            </w:r>
            <w:r>
              <w:rPr>
                <w:rFonts w:ascii="宋体" w:eastAsia="宋体" w:hAnsi="宋体" w:cs="Times New Roman" w:hint="eastAsia"/>
                <w:snapToGrid w:val="0"/>
                <w:szCs w:val="21"/>
              </w:rPr>
              <w:t>从B201.60.1到B201.61共五项行政处罚权是否会同应急管理部门权责相重叠。</w:t>
            </w:r>
          </w:p>
        </w:tc>
        <w:tc>
          <w:tcPr>
            <w:tcW w:w="1417" w:type="dxa"/>
            <w:tcBorders>
              <w:top w:val="single" w:sz="4" w:space="0" w:color="auto"/>
              <w:left w:val="nil"/>
              <w:bottom w:val="single" w:sz="4" w:space="0" w:color="auto"/>
              <w:right w:val="single" w:sz="4" w:space="0" w:color="auto"/>
            </w:tcBorders>
            <w:vAlign w:val="center"/>
          </w:tcPr>
          <w:p w:rsidR="00F93B21" w:rsidRDefault="00892AE8">
            <w:pPr>
              <w:jc w:val="center"/>
              <w:rPr>
                <w:rFonts w:ascii="方正仿宋_GBK" w:hAnsi="方正仿宋_GBK"/>
              </w:rPr>
            </w:pPr>
            <w:r>
              <w:rPr>
                <w:rFonts w:ascii="方正仿宋_GBK" w:hAnsi="方正仿宋_GBK" w:hint="eastAsia"/>
              </w:rPr>
              <w:t>部分采纳</w:t>
            </w:r>
          </w:p>
        </w:tc>
        <w:tc>
          <w:tcPr>
            <w:tcW w:w="1276" w:type="dxa"/>
            <w:tcBorders>
              <w:top w:val="single" w:sz="4" w:space="0" w:color="auto"/>
              <w:left w:val="nil"/>
              <w:bottom w:val="single" w:sz="4" w:space="0" w:color="auto"/>
              <w:right w:val="single" w:sz="4" w:space="0" w:color="auto"/>
            </w:tcBorders>
            <w:vAlign w:val="center"/>
          </w:tcPr>
          <w:p w:rsidR="00F93B21" w:rsidRDefault="00F93B21">
            <w:pPr>
              <w:spacing w:line="280" w:lineRule="exact"/>
              <w:rPr>
                <w:rFonts w:ascii="方正仿宋_GBK" w:hAnsi="方正仿宋_GBK"/>
              </w:rPr>
            </w:pPr>
          </w:p>
        </w:tc>
      </w:tr>
      <w:tr w:rsidR="00F93B21" w:rsidTr="00F93B21">
        <w:trPr>
          <w:cantSplit/>
          <w:trHeight w:val="42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lastRenderedPageBreak/>
              <w:t>5</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方正仿宋_GBK" w:hAnsi="方正仿宋_GBK"/>
                <w:szCs w:val="21"/>
              </w:rPr>
            </w:pPr>
            <w:r>
              <w:rPr>
                <w:rFonts w:ascii="方正仿宋_GBK" w:hAnsi="方正仿宋_GBK" w:hint="eastAsia"/>
                <w:szCs w:val="21"/>
              </w:rPr>
              <w:t>桂林市林业和园林局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《广西住房城乡建设系统行政处罚自由裁量基准（暂行）》（城乡规划建设类）</w:t>
            </w:r>
            <w:proofErr w:type="gramStart"/>
            <w:r>
              <w:rPr>
                <w:rFonts w:ascii="方正仿宋_GBK" w:hAnsi="方正仿宋_GBK" w:hint="eastAsia"/>
                <w:szCs w:val="21"/>
              </w:rPr>
              <w:t>目录第</w:t>
            </w:r>
            <w:proofErr w:type="gramEnd"/>
            <w:r>
              <w:rPr>
                <w:rFonts w:ascii="方正仿宋_GBK" w:hAnsi="方正仿宋_GBK" w:hint="eastAsia"/>
                <w:szCs w:val="21"/>
              </w:rPr>
              <w:t xml:space="preserve"> 3 </w:t>
            </w:r>
            <w:r>
              <w:rPr>
                <w:rFonts w:ascii="方正仿宋_GBK" w:hAnsi="方正仿宋_GBK" w:hint="eastAsia"/>
                <w:szCs w:val="21"/>
              </w:rPr>
              <w:t>页和第</w:t>
            </w:r>
            <w:r>
              <w:rPr>
                <w:rFonts w:ascii="方正仿宋_GBK" w:hAnsi="方正仿宋_GBK" w:hint="eastAsia"/>
                <w:szCs w:val="21"/>
              </w:rPr>
              <w:t xml:space="preserve"> 4 </w:t>
            </w:r>
            <w:r>
              <w:rPr>
                <w:rFonts w:ascii="方正仿宋_GBK" w:hAnsi="方正仿宋_GBK" w:hint="eastAsia"/>
                <w:szCs w:val="21"/>
              </w:rPr>
              <w:t>页，《广西壮族自治区实施古树名木保护条例》应为《广西壮族自治区古树名木保护条例》。</w:t>
            </w:r>
          </w:p>
        </w:tc>
        <w:tc>
          <w:tcPr>
            <w:tcW w:w="1417" w:type="dxa"/>
            <w:tcBorders>
              <w:top w:val="single" w:sz="4" w:space="0" w:color="auto"/>
              <w:left w:val="nil"/>
              <w:bottom w:val="single" w:sz="4" w:space="0" w:color="auto"/>
              <w:right w:val="single" w:sz="4" w:space="0" w:color="auto"/>
            </w:tcBorders>
            <w:vAlign w:val="center"/>
          </w:tcPr>
          <w:p w:rsidR="00F93B21" w:rsidRDefault="004F28FA">
            <w:pPr>
              <w:spacing w:line="280" w:lineRule="exact"/>
              <w:jc w:val="center"/>
              <w:rPr>
                <w:rFonts w:ascii="方正仿宋_GBK" w:hAnsi="方正仿宋_GBK"/>
              </w:rPr>
            </w:pPr>
            <w:r>
              <w:rPr>
                <w:rFonts w:ascii="方正仿宋_GBK" w:hAnsi="方正仿宋_GBK" w:hint="eastAsia"/>
              </w:rPr>
              <w:t>采纳</w:t>
            </w:r>
          </w:p>
        </w:tc>
        <w:tc>
          <w:tcPr>
            <w:tcW w:w="1276" w:type="dxa"/>
            <w:tcBorders>
              <w:top w:val="single" w:sz="4" w:space="0" w:color="auto"/>
              <w:left w:val="nil"/>
              <w:bottom w:val="single" w:sz="4" w:space="0" w:color="auto"/>
              <w:right w:val="single" w:sz="4" w:space="0" w:color="auto"/>
            </w:tcBorders>
            <w:vAlign w:val="center"/>
          </w:tcPr>
          <w:p w:rsidR="00F93B21" w:rsidRDefault="00F93B21">
            <w:pPr>
              <w:spacing w:line="280" w:lineRule="exact"/>
              <w:rPr>
                <w:rFonts w:ascii="方正仿宋_GBK" w:hAnsi="方正仿宋_GBK"/>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F93B21" w:rsidRDefault="009A487F">
            <w:pPr>
              <w:jc w:val="center"/>
              <w:rPr>
                <w:rFonts w:ascii="方正仿宋_GBK" w:hAnsi="方正仿宋_GBK"/>
                <w:szCs w:val="21"/>
              </w:rPr>
            </w:pPr>
            <w:r>
              <w:rPr>
                <w:rFonts w:ascii="方正仿宋_GBK" w:hAnsi="方正仿宋_GBK" w:hint="eastAsia"/>
                <w:szCs w:val="21"/>
              </w:rPr>
              <w:t>6</w:t>
            </w:r>
          </w:p>
        </w:tc>
        <w:tc>
          <w:tcPr>
            <w:tcW w:w="2220" w:type="dxa"/>
            <w:tcBorders>
              <w:top w:val="single" w:sz="4" w:space="0" w:color="auto"/>
              <w:left w:val="nil"/>
              <w:bottom w:val="single" w:sz="4" w:space="0" w:color="auto"/>
              <w:right w:val="single" w:sz="4" w:space="0" w:color="auto"/>
            </w:tcBorders>
            <w:vAlign w:val="center"/>
          </w:tcPr>
          <w:p w:rsidR="00F93B21" w:rsidRDefault="005D3F1A">
            <w:pPr>
              <w:rPr>
                <w:rFonts w:asciiTheme="minorEastAsia" w:hAnsiTheme="minorEastAsia" w:cs="仿宋_GB2312"/>
                <w:szCs w:val="21"/>
              </w:rPr>
            </w:pPr>
            <w:r>
              <w:rPr>
                <w:rFonts w:asciiTheme="minorEastAsia" w:hAnsiTheme="minorEastAsia" w:hint="eastAsia"/>
                <w:szCs w:val="21"/>
              </w:rPr>
              <w:t>百</w:t>
            </w:r>
            <w:r w:rsidR="00F93B21">
              <w:rPr>
                <w:rFonts w:asciiTheme="minorEastAsia" w:hAnsiTheme="minorEastAsia" w:hint="eastAsia"/>
                <w:szCs w:val="21"/>
              </w:rPr>
              <w:t>色市</w:t>
            </w:r>
            <w:r w:rsidR="00F93B21">
              <w:rPr>
                <w:rFonts w:asciiTheme="minorEastAsia" w:hAnsiTheme="minorEastAsia" w:cs="仿宋_GB2312" w:hint="eastAsia"/>
                <w:szCs w:val="21"/>
              </w:rPr>
              <w:t>住房和城乡建设局</w:t>
            </w:r>
          </w:p>
          <w:p w:rsidR="00F93B21" w:rsidRDefault="00F93B21">
            <w:pPr>
              <w:spacing w:line="520" w:lineRule="exact"/>
              <w:ind w:firstLineChars="1000" w:firstLine="2100"/>
              <w:rPr>
                <w:rFonts w:asciiTheme="minorEastAsia" w:hAnsiTheme="minorEastAsia"/>
                <w:szCs w:val="21"/>
              </w:rPr>
            </w:pP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Theme="minorEastAsia" w:hAnsiTheme="minorEastAsia"/>
                <w:szCs w:val="21"/>
                <w:shd w:val="clear" w:color="auto" w:fill="FFFFFF"/>
              </w:rPr>
            </w:pPr>
            <w:r>
              <w:rPr>
                <w:rFonts w:ascii="宋体" w:eastAsia="宋体" w:hAnsi="宋体" w:cs="Times New Roman" w:hint="eastAsia"/>
                <w:szCs w:val="21"/>
              </w:rPr>
              <w:t>1.部分法律法规引用有误。比如《城市房地产开发经营管理条例》、</w:t>
            </w:r>
            <w:r>
              <w:rPr>
                <w:rFonts w:ascii="宋体" w:eastAsia="宋体" w:hAnsi="宋体" w:cs="Times New Roman" w:hint="eastAsia"/>
                <w:szCs w:val="21"/>
                <w:shd w:val="clear" w:color="auto" w:fill="FFFFFF"/>
              </w:rPr>
              <w:t>《广西壮族自治区城市房地产开发经营管理条例》，分别于2019年、2016年进行过修正，有些条款已修改，有些条款已删除，但是自由裁量权基准所引有的依据仍用修正前的法律法规，法律适用不当。《物业服务企业资质管理办法》于2018年3月8日中华人民共和国住房和城乡建设部令（第39号）已决定废止，自由裁量权基准仍使用该办法作为法律依据，法律适用有误。因涉及的自由裁量权基准数量较多，不能一一列举，主要集中在房产类，请贵厅对照新修改的法律法规进行仔细核对，给予修改更正。2.对“违法情节和后果”一栏的表述不够具体，不利于指导实施具体工作，建议进一步明确“轻微”、“一般”、“严重”等违法情节和后果的表述。</w:t>
            </w:r>
            <w:r>
              <w:rPr>
                <w:rFonts w:ascii="宋体" w:eastAsia="宋体" w:hAnsi="宋体" w:cs="Times New Roman" w:hint="eastAsia"/>
                <w:kern w:val="0"/>
                <w:szCs w:val="21"/>
              </w:rPr>
              <w:t>3.附件2《裁量基准增减修订表》中，《中华人民共和国消防法》B201.58.4、B201.60.1、B201.60.2、B201.60.3、B201.60.4、B201.61等6项违法行为，《消防法》未明确</w:t>
            </w:r>
            <w:proofErr w:type="gramStart"/>
            <w:r>
              <w:rPr>
                <w:rFonts w:ascii="宋体" w:eastAsia="宋体" w:hAnsi="宋体" w:cs="Times New Roman" w:hint="eastAsia"/>
                <w:kern w:val="0"/>
                <w:szCs w:val="21"/>
              </w:rPr>
              <w:t>属于住建部门</w:t>
            </w:r>
            <w:proofErr w:type="gramEnd"/>
            <w:r>
              <w:rPr>
                <w:rFonts w:ascii="宋体" w:eastAsia="宋体" w:hAnsi="宋体" w:cs="Times New Roman" w:hint="eastAsia"/>
                <w:kern w:val="0"/>
                <w:szCs w:val="21"/>
              </w:rPr>
              <w:t>行政处罚范围，建议不将上述违法行为</w:t>
            </w:r>
            <w:proofErr w:type="gramStart"/>
            <w:r>
              <w:rPr>
                <w:rFonts w:ascii="宋体" w:eastAsia="宋体" w:hAnsi="宋体" w:cs="Times New Roman" w:hint="eastAsia"/>
                <w:kern w:val="0"/>
                <w:szCs w:val="21"/>
              </w:rPr>
              <w:t>纳入住建部门</w:t>
            </w:r>
            <w:proofErr w:type="gramEnd"/>
            <w:r>
              <w:rPr>
                <w:rFonts w:ascii="宋体" w:eastAsia="宋体" w:hAnsi="宋体" w:cs="Times New Roman" w:hint="eastAsia"/>
                <w:kern w:val="0"/>
                <w:szCs w:val="21"/>
              </w:rPr>
              <w:t>制定的《裁量基准增减修订表》。</w:t>
            </w:r>
          </w:p>
        </w:tc>
        <w:tc>
          <w:tcPr>
            <w:tcW w:w="1417" w:type="dxa"/>
            <w:tcBorders>
              <w:top w:val="single" w:sz="4" w:space="0" w:color="auto"/>
              <w:left w:val="nil"/>
              <w:bottom w:val="single" w:sz="4" w:space="0" w:color="auto"/>
              <w:right w:val="single" w:sz="4" w:space="0" w:color="auto"/>
            </w:tcBorders>
            <w:vAlign w:val="center"/>
            <w:hideMark/>
          </w:tcPr>
          <w:p w:rsidR="00F93B21" w:rsidRDefault="00D64EFA">
            <w:pPr>
              <w:jc w:val="center"/>
              <w:rPr>
                <w:rFonts w:ascii="方正仿宋_GBK" w:hAnsi="方正仿宋_GBK"/>
                <w:szCs w:val="21"/>
              </w:rPr>
            </w:pPr>
            <w:r>
              <w:rPr>
                <w:rFonts w:ascii="方正仿宋_GBK" w:hAnsi="方正仿宋_GBK" w:hint="eastAsia"/>
                <w:szCs w:val="21"/>
              </w:rPr>
              <w:t>采纳</w:t>
            </w: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lastRenderedPageBreak/>
              <w:t>7</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方正仿宋_GBK" w:hAnsi="方正仿宋_GBK"/>
                <w:szCs w:val="21"/>
              </w:rPr>
            </w:pPr>
            <w:r>
              <w:rPr>
                <w:rFonts w:ascii="方正仿宋_GBK" w:hAnsi="方正仿宋_GBK" w:hint="eastAsia"/>
                <w:szCs w:val="21"/>
              </w:rPr>
              <w:t>防城港市城市管理监督局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一、关于《广西住房城乡建设系统行政处罚自由裁量基准（暂行）》（城乡规划建设类）的意见：（一）关于</w:t>
            </w:r>
            <w:r>
              <w:rPr>
                <w:rFonts w:ascii="方正仿宋_GBK" w:hAnsi="方正仿宋_GBK" w:hint="eastAsia"/>
                <w:szCs w:val="21"/>
              </w:rPr>
              <w:t>C101.64.3</w:t>
            </w:r>
            <w:r>
              <w:rPr>
                <w:rFonts w:ascii="方正仿宋_GBK" w:hAnsi="方正仿宋_GBK" w:hint="eastAsia"/>
                <w:szCs w:val="21"/>
              </w:rPr>
              <w:t>、</w:t>
            </w:r>
            <w:r>
              <w:rPr>
                <w:rFonts w:ascii="方正仿宋_GBK" w:hAnsi="方正仿宋_GBK" w:hint="eastAsia"/>
                <w:szCs w:val="21"/>
              </w:rPr>
              <w:t>C101.64.4</w:t>
            </w:r>
            <w:r>
              <w:rPr>
                <w:rFonts w:ascii="方正仿宋_GBK" w:hAnsi="方正仿宋_GBK" w:hint="eastAsia"/>
                <w:szCs w:val="21"/>
              </w:rPr>
              <w:t>“未按照建设工程规划许可证规定进行建设”违法行为的裁量基准。建议区分已建成和在建工程的造价如何确定。（二）关于</w:t>
            </w:r>
            <w:r>
              <w:rPr>
                <w:rFonts w:ascii="方正仿宋_GBK" w:hAnsi="方正仿宋_GBK" w:hint="eastAsia"/>
                <w:szCs w:val="21"/>
              </w:rPr>
              <w:t>C217.32.3</w:t>
            </w:r>
            <w:r>
              <w:rPr>
                <w:rFonts w:ascii="方正仿宋_GBK" w:hAnsi="方正仿宋_GBK" w:hint="eastAsia"/>
                <w:szCs w:val="21"/>
              </w:rPr>
              <w:t>“擅自在城市照明设施上张贴、悬挂、设置宣传品、广告行为”的裁量基准。违法情节和后果以张贴、悬挂、设置宣传品、广告</w:t>
            </w:r>
            <w:r>
              <w:rPr>
                <w:rFonts w:ascii="方正仿宋_GBK" w:hAnsi="方正仿宋_GBK" w:hint="eastAsia"/>
                <w:szCs w:val="21"/>
              </w:rPr>
              <w:t>1</w:t>
            </w:r>
            <w:r>
              <w:rPr>
                <w:rFonts w:ascii="方正仿宋_GBK" w:hAnsi="方正仿宋_GBK" w:hint="eastAsia"/>
                <w:szCs w:val="21"/>
              </w:rPr>
              <w:t>、</w:t>
            </w:r>
            <w:r>
              <w:rPr>
                <w:rFonts w:ascii="方正仿宋_GBK" w:hAnsi="方正仿宋_GBK" w:hint="eastAsia"/>
                <w:szCs w:val="21"/>
              </w:rPr>
              <w:t>2</w:t>
            </w:r>
            <w:r>
              <w:rPr>
                <w:rFonts w:ascii="方正仿宋_GBK" w:hAnsi="方正仿宋_GBK" w:hint="eastAsia"/>
                <w:szCs w:val="21"/>
              </w:rPr>
              <w:t>、</w:t>
            </w:r>
            <w:r>
              <w:rPr>
                <w:rFonts w:ascii="方正仿宋_GBK" w:hAnsi="方正仿宋_GBK" w:hint="eastAsia"/>
                <w:szCs w:val="21"/>
              </w:rPr>
              <w:t>3</w:t>
            </w:r>
            <w:r>
              <w:rPr>
                <w:rFonts w:ascii="方正仿宋_GBK" w:hAnsi="方正仿宋_GBK" w:hint="eastAsia"/>
                <w:szCs w:val="21"/>
              </w:rPr>
              <w:t>处区分轻微、一般、严重，处罚金额高达</w:t>
            </w:r>
            <w:r>
              <w:rPr>
                <w:rFonts w:ascii="方正仿宋_GBK" w:hAnsi="方正仿宋_GBK" w:hint="eastAsia"/>
                <w:szCs w:val="21"/>
              </w:rPr>
              <w:t>3</w:t>
            </w:r>
            <w:r>
              <w:rPr>
                <w:rFonts w:ascii="方正仿宋_GBK" w:hAnsi="方正仿宋_GBK" w:hint="eastAsia"/>
                <w:szCs w:val="21"/>
              </w:rPr>
              <w:t>万元，考虑到违法行为人在实际中不止粘贴一处，有些甚至几十上百处，因此可能存在与行政处罚幅度不相适应，操作性不强。（三）关于</w:t>
            </w:r>
            <w:r>
              <w:rPr>
                <w:rFonts w:ascii="方正仿宋_GBK" w:hAnsi="方正仿宋_GBK" w:hint="eastAsia"/>
                <w:szCs w:val="21"/>
              </w:rPr>
              <w:t>C207.26</w:t>
            </w:r>
            <w:r>
              <w:rPr>
                <w:rFonts w:ascii="方正仿宋_GBK" w:hAnsi="方正仿宋_GBK" w:hint="eastAsia"/>
                <w:szCs w:val="21"/>
              </w:rPr>
              <w:t>“单位和个人随意倾倒、抛撒或者堆放建筑垃圾的”的裁量基准。考虑到对个人违法的处罚幅度是</w:t>
            </w:r>
            <w:r>
              <w:rPr>
                <w:rFonts w:ascii="方正仿宋_GBK" w:hAnsi="方正仿宋_GBK" w:hint="eastAsia"/>
                <w:szCs w:val="21"/>
              </w:rPr>
              <w:t>200</w:t>
            </w:r>
            <w:r>
              <w:rPr>
                <w:rFonts w:ascii="方正仿宋_GBK" w:hAnsi="方正仿宋_GBK" w:hint="eastAsia"/>
                <w:szCs w:val="21"/>
              </w:rPr>
              <w:t>元以下，处罚金额较少，而违法行为后果较重，难以对个人达到惩罚效果，因此建议区分单位和个人的违法情节和后果，明确个人不论倾倒、抛撒和堆放多少建筑垃圾，</w:t>
            </w:r>
            <w:proofErr w:type="gramStart"/>
            <w:r>
              <w:rPr>
                <w:rFonts w:ascii="方正仿宋_GBK" w:hAnsi="方正仿宋_GBK" w:hint="eastAsia"/>
                <w:szCs w:val="21"/>
              </w:rPr>
              <w:t>一律对</w:t>
            </w:r>
            <w:proofErr w:type="gramEnd"/>
            <w:r>
              <w:rPr>
                <w:rFonts w:ascii="方正仿宋_GBK" w:hAnsi="方正仿宋_GBK" w:hint="eastAsia"/>
                <w:szCs w:val="21"/>
              </w:rPr>
              <w:t>个人处以</w:t>
            </w:r>
            <w:r>
              <w:rPr>
                <w:rFonts w:ascii="方正仿宋_GBK" w:hAnsi="方正仿宋_GBK" w:hint="eastAsia"/>
                <w:szCs w:val="21"/>
              </w:rPr>
              <w:t>200</w:t>
            </w:r>
            <w:r>
              <w:rPr>
                <w:rFonts w:ascii="方正仿宋_GBK" w:hAnsi="方正仿宋_GBK" w:hint="eastAsia"/>
                <w:szCs w:val="21"/>
              </w:rPr>
              <w:t>元的行政处罚。</w:t>
            </w:r>
          </w:p>
          <w:p w:rsidR="00F93B21" w:rsidRDefault="00F93B21">
            <w:pPr>
              <w:rPr>
                <w:rFonts w:ascii="方正仿宋_GBK" w:hAnsi="方正仿宋_GBK"/>
                <w:szCs w:val="21"/>
              </w:rPr>
            </w:pPr>
            <w:r>
              <w:rPr>
                <w:rFonts w:ascii="方正仿宋_GBK" w:hAnsi="方正仿宋_GBK" w:hint="eastAsia"/>
                <w:szCs w:val="21"/>
              </w:rPr>
              <w:t>二、关于《广西住房城乡建设系统行政处罚自由裁量基准（暂行）》（建筑类）的意见：关于</w:t>
            </w:r>
            <w:r>
              <w:rPr>
                <w:rFonts w:ascii="方正仿宋_GBK" w:hAnsi="方正仿宋_GBK" w:hint="eastAsia"/>
                <w:szCs w:val="21"/>
              </w:rPr>
              <w:t>B301.57</w:t>
            </w:r>
            <w:r>
              <w:rPr>
                <w:rFonts w:ascii="方正仿宋_GBK" w:hAnsi="方正仿宋_GBK" w:hint="eastAsia"/>
                <w:szCs w:val="21"/>
              </w:rPr>
              <w:t>“建设单位未取得施工许可证或者开工报告未经批准，擅自施工”的裁量基准。实际情况中面临的问题是：</w:t>
            </w:r>
            <w:r>
              <w:rPr>
                <w:rFonts w:ascii="方正仿宋_GBK" w:hAnsi="方正仿宋_GBK" w:hint="eastAsia"/>
                <w:szCs w:val="21"/>
              </w:rPr>
              <w:t>1.</w:t>
            </w:r>
            <w:r>
              <w:rPr>
                <w:rFonts w:ascii="方正仿宋_GBK" w:hAnsi="方正仿宋_GBK" w:hint="eastAsia"/>
                <w:szCs w:val="21"/>
              </w:rPr>
              <w:t>工程合同价款如何确定，是按在建工程量还是规划许可总工程量计罚；</w:t>
            </w:r>
            <w:r>
              <w:rPr>
                <w:rFonts w:ascii="方正仿宋_GBK" w:hAnsi="方正仿宋_GBK" w:hint="eastAsia"/>
                <w:szCs w:val="21"/>
              </w:rPr>
              <w:t>2.</w:t>
            </w:r>
            <w:r>
              <w:rPr>
                <w:rFonts w:ascii="方正仿宋_GBK" w:hAnsi="方正仿宋_GBK" w:hint="eastAsia"/>
                <w:szCs w:val="21"/>
              </w:rPr>
              <w:t>工程合同存在包工包料和包工不包料两种类型，两种合同的工程价款相差很大，将会引起处罚金额差异较大。因此，建议明确工程合同价款的范围。</w:t>
            </w:r>
          </w:p>
          <w:p w:rsidR="00F93B21" w:rsidRDefault="00F93B21">
            <w:pPr>
              <w:rPr>
                <w:rFonts w:ascii="方正仿宋_GBK" w:hAnsi="方正仿宋_GBK"/>
                <w:szCs w:val="21"/>
              </w:rPr>
            </w:pPr>
            <w:r>
              <w:rPr>
                <w:rFonts w:ascii="方正仿宋_GBK" w:hAnsi="方正仿宋_GBK" w:hint="eastAsia"/>
                <w:szCs w:val="21"/>
              </w:rPr>
              <w:t>三、建议把其他领域法律法规授权给住</w:t>
            </w:r>
            <w:proofErr w:type="gramStart"/>
            <w:r>
              <w:rPr>
                <w:rFonts w:ascii="方正仿宋_GBK" w:hAnsi="方正仿宋_GBK" w:hint="eastAsia"/>
                <w:szCs w:val="21"/>
              </w:rPr>
              <w:t>建部门</w:t>
            </w:r>
            <w:proofErr w:type="gramEnd"/>
            <w:r>
              <w:rPr>
                <w:rFonts w:ascii="方正仿宋_GBK" w:hAnsi="方正仿宋_GBK" w:hint="eastAsia"/>
                <w:szCs w:val="21"/>
              </w:rPr>
              <w:t>的处罚权也纳入裁量基准范围。《中华人民共和国大气污染防治法》、《广西壮族自治区环境保护条例》、《广西壮族自治区文明行为促进条例》等法律法</w:t>
            </w:r>
          </w:p>
        </w:tc>
        <w:tc>
          <w:tcPr>
            <w:tcW w:w="1417" w:type="dxa"/>
            <w:tcBorders>
              <w:top w:val="single" w:sz="4" w:space="0" w:color="auto"/>
              <w:left w:val="nil"/>
              <w:bottom w:val="single" w:sz="4" w:space="0" w:color="auto"/>
              <w:right w:val="single" w:sz="4" w:space="0" w:color="auto"/>
            </w:tcBorders>
            <w:vAlign w:val="center"/>
          </w:tcPr>
          <w:p w:rsidR="00F93B21" w:rsidRDefault="0052168C">
            <w:pPr>
              <w:jc w:val="center"/>
              <w:rPr>
                <w:rFonts w:ascii="方正仿宋_GBK" w:hAnsi="方正仿宋_GBK"/>
                <w:szCs w:val="21"/>
              </w:rPr>
            </w:pPr>
            <w:r>
              <w:rPr>
                <w:rFonts w:ascii="方正仿宋_GBK" w:hAnsi="方正仿宋_GBK" w:hint="eastAsia"/>
                <w:szCs w:val="21"/>
              </w:rPr>
              <w:t>部分采纳</w:t>
            </w: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lastRenderedPageBreak/>
              <w:t>8</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Theme="minorEastAsia" w:hAnsiTheme="minorEastAsia"/>
                <w:szCs w:val="21"/>
              </w:rPr>
            </w:pPr>
            <w:r>
              <w:rPr>
                <w:rFonts w:ascii="宋体" w:eastAsia="宋体" w:hAnsi="宋体" w:cs="仿宋_GB2312" w:hint="eastAsia"/>
                <w:szCs w:val="21"/>
              </w:rPr>
              <w:t>河池市城市管理执法局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ind w:firstLineChars="200" w:firstLine="420"/>
              <w:rPr>
                <w:rFonts w:ascii="宋体" w:eastAsia="宋体" w:hAnsi="宋体" w:cs="仿宋_GB2312"/>
                <w:szCs w:val="21"/>
              </w:rPr>
            </w:pPr>
            <w:r>
              <w:rPr>
                <w:rFonts w:ascii="宋体" w:eastAsia="宋体" w:hAnsi="宋体" w:cs="仿宋_GB2312" w:hint="eastAsia"/>
                <w:szCs w:val="21"/>
              </w:rPr>
              <w:t>建议依据各地经济、社会发展情况，对行政处罚自由裁量权基准分三个层级：第一层级为南宁市、柳州市、桂林市；第二层级为其余设区的市；第三层级为县级。实行三级行政处罚自由裁量权基准。</w:t>
            </w:r>
          </w:p>
          <w:p w:rsidR="00F93B21" w:rsidRDefault="00F93B21">
            <w:pPr>
              <w:ind w:firstLineChars="200" w:firstLine="420"/>
              <w:rPr>
                <w:rFonts w:asciiTheme="minorEastAsia" w:hAnsiTheme="minorEastAsia" w:cs="仿宋_GB2312"/>
                <w:szCs w:val="21"/>
              </w:rPr>
            </w:pPr>
            <w:r>
              <w:rPr>
                <w:rFonts w:ascii="宋体" w:eastAsia="宋体" w:hAnsi="宋体" w:cs="仿宋_GB2312" w:hint="eastAsia"/>
                <w:bCs/>
                <w:szCs w:val="21"/>
              </w:rPr>
              <w:t>修改理由：</w:t>
            </w:r>
            <w:r>
              <w:rPr>
                <w:rFonts w:ascii="宋体" w:eastAsia="宋体" w:hAnsi="宋体" w:cs="仿宋_GB2312" w:hint="eastAsia"/>
                <w:szCs w:val="21"/>
              </w:rPr>
              <w:t>全区经济、社会发展仍不平衡，各地差异较大。如果只制定一个层级自由裁量权基准，日常执法中较难执行。例如《城市道路管理条例》C214.42.7项基准中，对擅自占用城市道路的处罚幅度：占用面积50平方米以上，处以1.5万元以上2万元以下的罚款。在南宁市区，这一处罚幅度比较适宜。但在经济欠发达的市或者县级，如占用面积50平方米以上，就处罚1.5万元，处罚额度偏高，日常执法适用较难，可操作性差。</w:t>
            </w:r>
          </w:p>
        </w:tc>
        <w:tc>
          <w:tcPr>
            <w:tcW w:w="1417" w:type="dxa"/>
            <w:tcBorders>
              <w:top w:val="single" w:sz="4" w:space="0" w:color="auto"/>
              <w:left w:val="nil"/>
              <w:bottom w:val="single" w:sz="4" w:space="0" w:color="auto"/>
              <w:right w:val="single" w:sz="4" w:space="0" w:color="auto"/>
            </w:tcBorders>
            <w:vAlign w:val="center"/>
          </w:tcPr>
          <w:p w:rsidR="00F93B21" w:rsidRDefault="00635E9C">
            <w:pPr>
              <w:jc w:val="center"/>
              <w:rPr>
                <w:rFonts w:ascii="方正仿宋_GBK" w:hAnsi="方正仿宋_GBK"/>
                <w:szCs w:val="21"/>
              </w:rPr>
            </w:pPr>
            <w:r>
              <w:rPr>
                <w:rFonts w:ascii="方正仿宋_GBK" w:hAnsi="方正仿宋_GBK" w:hint="eastAsia"/>
                <w:szCs w:val="21"/>
              </w:rPr>
              <w:t>不予采纳</w:t>
            </w: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516AD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516AD1" w:rsidRDefault="009A487F">
            <w:pPr>
              <w:jc w:val="center"/>
              <w:rPr>
                <w:rFonts w:ascii="方正仿宋_GBK" w:hAnsi="方正仿宋_GBK"/>
                <w:szCs w:val="21"/>
              </w:rPr>
            </w:pPr>
            <w:r>
              <w:rPr>
                <w:rFonts w:ascii="方正仿宋_GBK" w:hAnsi="方正仿宋_GBK" w:hint="eastAsia"/>
                <w:szCs w:val="21"/>
              </w:rPr>
              <w:t>9</w:t>
            </w:r>
          </w:p>
        </w:tc>
        <w:tc>
          <w:tcPr>
            <w:tcW w:w="2220" w:type="dxa"/>
            <w:tcBorders>
              <w:top w:val="single" w:sz="4" w:space="0" w:color="auto"/>
              <w:left w:val="nil"/>
              <w:bottom w:val="single" w:sz="4" w:space="0" w:color="auto"/>
              <w:right w:val="single" w:sz="4" w:space="0" w:color="auto"/>
            </w:tcBorders>
            <w:vAlign w:val="center"/>
            <w:hideMark/>
          </w:tcPr>
          <w:p w:rsidR="00516AD1" w:rsidRDefault="00516AD1" w:rsidP="00516AD1">
            <w:pPr>
              <w:jc w:val="center"/>
              <w:rPr>
                <w:rFonts w:ascii="宋体" w:eastAsia="宋体" w:hAnsi="宋体" w:cs="仿宋_GB2312"/>
                <w:szCs w:val="21"/>
              </w:rPr>
            </w:pPr>
            <w:r>
              <w:rPr>
                <w:rFonts w:asciiTheme="minorEastAsia" w:hAnsiTheme="minorEastAsia" w:cs="方正小标宋_GBK" w:hint="eastAsia"/>
                <w:szCs w:val="21"/>
              </w:rPr>
              <w:t>钦州市住房和城乡建设局</w:t>
            </w:r>
          </w:p>
        </w:tc>
        <w:tc>
          <w:tcPr>
            <w:tcW w:w="8032" w:type="dxa"/>
            <w:tcBorders>
              <w:top w:val="single" w:sz="4" w:space="0" w:color="auto"/>
              <w:left w:val="nil"/>
              <w:bottom w:val="single" w:sz="4" w:space="0" w:color="auto"/>
              <w:right w:val="single" w:sz="4" w:space="0" w:color="auto"/>
            </w:tcBorders>
            <w:vAlign w:val="center"/>
            <w:hideMark/>
          </w:tcPr>
          <w:p w:rsidR="00516AD1" w:rsidRPr="00516AD1" w:rsidRDefault="00516AD1" w:rsidP="00516AD1">
            <w:pPr>
              <w:ind w:firstLineChars="200" w:firstLine="420"/>
              <w:rPr>
                <w:rFonts w:asciiTheme="minorEastAsia" w:hAnsiTheme="minorEastAsia"/>
                <w:szCs w:val="21"/>
              </w:rPr>
            </w:pPr>
            <w:r w:rsidRPr="00516AD1">
              <w:rPr>
                <w:rFonts w:ascii="宋体" w:eastAsia="宋体" w:hAnsi="宋体" w:cs="Times New Roman" w:hint="eastAsia"/>
                <w:szCs w:val="21"/>
              </w:rPr>
              <w:t>《广西住房城乡建设系统行政处罚自由裁量权基准（暂行）》修订说明中提到，</w:t>
            </w:r>
            <w:proofErr w:type="gramStart"/>
            <w:r w:rsidRPr="00516AD1">
              <w:rPr>
                <w:rFonts w:ascii="宋体" w:eastAsia="宋体" w:hAnsi="宋体" w:cs="Times New Roman" w:hint="eastAsia"/>
                <w:szCs w:val="21"/>
              </w:rPr>
              <w:t>区厅根据</w:t>
            </w:r>
            <w:proofErr w:type="gramEnd"/>
            <w:r w:rsidRPr="00516AD1">
              <w:rPr>
                <w:rFonts w:ascii="宋体" w:eastAsia="宋体" w:hAnsi="宋体" w:cs="Times New Roman" w:hint="eastAsia"/>
                <w:szCs w:val="21"/>
              </w:rPr>
              <w:t>有关法律、法规、规章对《基准》做了相应的增减修订，其中法律部分增加了《中华人民共和国消防法》中14项行政处罚裁量基准。对此，我局认为，《中华人民共和国消防法》中规定由住房城乡建设部门实施的行政处罚事项只有第五十八条第一款第（</w:t>
            </w:r>
            <w:proofErr w:type="gramStart"/>
            <w:r w:rsidRPr="00516AD1">
              <w:rPr>
                <w:rFonts w:ascii="宋体" w:eastAsia="宋体" w:hAnsi="宋体" w:cs="Times New Roman" w:hint="eastAsia"/>
                <w:szCs w:val="21"/>
              </w:rPr>
              <w:t>一</w:t>
            </w:r>
            <w:proofErr w:type="gramEnd"/>
            <w:r w:rsidRPr="00516AD1">
              <w:rPr>
                <w:rFonts w:ascii="宋体" w:eastAsia="宋体" w:hAnsi="宋体" w:cs="Times New Roman" w:hint="eastAsia"/>
                <w:szCs w:val="21"/>
              </w:rPr>
              <w:t>）（二）（三）项、第二款以及第五十九条规定的</w:t>
            </w:r>
            <w:r w:rsidRPr="00516AD1">
              <w:rPr>
                <w:rFonts w:ascii="宋体" w:eastAsia="宋体" w:hAnsi="宋体" w:cs="方正仿宋_GBK" w:hint="eastAsia"/>
                <w:szCs w:val="21"/>
              </w:rPr>
              <w:t>消防设计审查、消防验收、消防验收备案等方面共三大项10小项行政处罚事项，其他的属于消防部门行使的处罚权，因此，建议只对住房城乡建设部门的处罚事项制定相应的裁量基准。</w:t>
            </w:r>
          </w:p>
        </w:tc>
        <w:tc>
          <w:tcPr>
            <w:tcW w:w="1417" w:type="dxa"/>
            <w:tcBorders>
              <w:top w:val="single" w:sz="4" w:space="0" w:color="auto"/>
              <w:left w:val="nil"/>
              <w:bottom w:val="single" w:sz="4" w:space="0" w:color="auto"/>
              <w:right w:val="single" w:sz="4" w:space="0" w:color="auto"/>
            </w:tcBorders>
            <w:vAlign w:val="center"/>
          </w:tcPr>
          <w:p w:rsidR="00516AD1" w:rsidRDefault="00D627FF">
            <w:pPr>
              <w:jc w:val="center"/>
              <w:rPr>
                <w:rFonts w:ascii="方正仿宋_GBK" w:hAnsi="方正仿宋_GBK"/>
                <w:szCs w:val="21"/>
              </w:rPr>
            </w:pPr>
            <w:r>
              <w:rPr>
                <w:rFonts w:ascii="方正仿宋_GBK" w:hAnsi="方正仿宋_GBK" w:hint="eastAsia"/>
                <w:szCs w:val="21"/>
              </w:rPr>
              <w:t>采纳</w:t>
            </w:r>
          </w:p>
        </w:tc>
        <w:tc>
          <w:tcPr>
            <w:tcW w:w="1276" w:type="dxa"/>
            <w:tcBorders>
              <w:top w:val="single" w:sz="4" w:space="0" w:color="auto"/>
              <w:left w:val="nil"/>
              <w:bottom w:val="single" w:sz="4" w:space="0" w:color="auto"/>
              <w:right w:val="single" w:sz="4" w:space="0" w:color="auto"/>
            </w:tcBorders>
            <w:vAlign w:val="center"/>
          </w:tcPr>
          <w:p w:rsidR="00516AD1" w:rsidRDefault="00516AD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F93B21" w:rsidRDefault="009A487F" w:rsidP="004E5FB6">
            <w:pPr>
              <w:rPr>
                <w:rFonts w:ascii="方正仿宋_GBK" w:hAnsi="方正仿宋_GBK"/>
                <w:szCs w:val="21"/>
              </w:rPr>
            </w:pPr>
            <w:r>
              <w:rPr>
                <w:rFonts w:ascii="方正仿宋_GBK" w:hAnsi="方正仿宋_GBK" w:hint="eastAsia"/>
                <w:szCs w:val="21"/>
              </w:rPr>
              <w:t>10</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Theme="minorEastAsia" w:hAnsiTheme="minorEastAsia" w:cs="仿宋_GB2312"/>
                <w:szCs w:val="21"/>
              </w:rPr>
            </w:pPr>
            <w:r>
              <w:rPr>
                <w:rFonts w:asciiTheme="minorEastAsia" w:hAnsiTheme="minorEastAsia" w:cs="方正小标宋_GBK" w:hint="eastAsia"/>
                <w:szCs w:val="21"/>
              </w:rPr>
              <w:t>钦州市城市管理行政执法局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Theme="minorEastAsia" w:hAnsiTheme="minorEastAsia" w:cs="方正仿宋_GBK"/>
                <w:szCs w:val="21"/>
              </w:rPr>
            </w:pPr>
            <w:r>
              <w:rPr>
                <w:rFonts w:asciiTheme="minorEastAsia" w:hAnsiTheme="minorEastAsia" w:cs="方正仿宋_GBK" w:hint="eastAsia"/>
                <w:szCs w:val="21"/>
              </w:rPr>
              <w:t>建议删除《裁量基准增减修订表》：P4“《中华人民共和国消防法》B201.58.4”、“P10《中华人民共和国消防法》B201.60.1”、“P11《中华人民共和国消防法》B201.60.2”、“P12《中华人民共和国消防法》B201.60.3”、“P13《中华人民共和国消防法》B201.60.4”、“P14《中华人民共和国消防法》B201.61”共6项行政处罚裁量基准。理由：不属于住房城乡建设部门的职权范围</w:t>
            </w:r>
          </w:p>
        </w:tc>
        <w:tc>
          <w:tcPr>
            <w:tcW w:w="1417" w:type="dxa"/>
            <w:tcBorders>
              <w:top w:val="single" w:sz="4" w:space="0" w:color="auto"/>
              <w:left w:val="nil"/>
              <w:bottom w:val="single" w:sz="4" w:space="0" w:color="auto"/>
              <w:right w:val="single" w:sz="4" w:space="0" w:color="auto"/>
            </w:tcBorders>
            <w:vAlign w:val="center"/>
          </w:tcPr>
          <w:p w:rsidR="00F93B21" w:rsidRDefault="00A313A3">
            <w:pPr>
              <w:jc w:val="center"/>
              <w:rPr>
                <w:rFonts w:ascii="方正仿宋_GBK" w:hAnsi="方正仿宋_GBK"/>
                <w:szCs w:val="21"/>
              </w:rPr>
            </w:pPr>
            <w:r>
              <w:rPr>
                <w:rFonts w:ascii="方正仿宋_GBK" w:hAnsi="方正仿宋_GBK" w:hint="eastAsia"/>
                <w:szCs w:val="21"/>
              </w:rPr>
              <w:t>采纳</w:t>
            </w: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lastRenderedPageBreak/>
              <w:t>11</w:t>
            </w:r>
          </w:p>
        </w:tc>
        <w:tc>
          <w:tcPr>
            <w:tcW w:w="2220" w:type="dxa"/>
            <w:tcBorders>
              <w:top w:val="single" w:sz="4" w:space="0" w:color="auto"/>
              <w:left w:val="nil"/>
              <w:bottom w:val="single" w:sz="4" w:space="0" w:color="auto"/>
              <w:right w:val="single" w:sz="4" w:space="0" w:color="auto"/>
            </w:tcBorders>
            <w:vAlign w:val="center"/>
          </w:tcPr>
          <w:p w:rsidR="00F93B21" w:rsidRDefault="004E5FB6">
            <w:pPr>
              <w:jc w:val="center"/>
              <w:rPr>
                <w:rFonts w:ascii="宋体" w:eastAsia="宋体" w:hAnsi="宋体" w:cs="仿宋_GB2312"/>
                <w:szCs w:val="21"/>
              </w:rPr>
            </w:pPr>
            <w:r>
              <w:rPr>
                <w:rFonts w:ascii="宋体" w:eastAsia="宋体" w:hAnsi="宋体" w:cs="仿宋_GB2312" w:hint="eastAsia"/>
                <w:szCs w:val="21"/>
              </w:rPr>
              <w:t>北海市住房和城乡建设局</w:t>
            </w:r>
          </w:p>
        </w:tc>
        <w:tc>
          <w:tcPr>
            <w:tcW w:w="8032" w:type="dxa"/>
            <w:tcBorders>
              <w:top w:val="single" w:sz="4" w:space="0" w:color="auto"/>
              <w:left w:val="nil"/>
              <w:bottom w:val="single" w:sz="4" w:space="0" w:color="auto"/>
              <w:right w:val="single" w:sz="4" w:space="0" w:color="auto"/>
            </w:tcBorders>
            <w:vAlign w:val="center"/>
            <w:hideMark/>
          </w:tcPr>
          <w:p w:rsidR="004E5FB6" w:rsidRPr="004E5FB6" w:rsidRDefault="004E5FB6" w:rsidP="004E5FB6">
            <w:pPr>
              <w:rPr>
                <w:rFonts w:ascii="宋体" w:eastAsia="宋体" w:hAnsi="宋体" w:cs="仿宋_GB2312"/>
                <w:szCs w:val="21"/>
              </w:rPr>
            </w:pPr>
            <w:r w:rsidRPr="004E5FB6">
              <w:rPr>
                <w:rFonts w:ascii="宋体" w:eastAsia="宋体" w:hAnsi="宋体" w:cs="仿宋_GB2312" w:hint="eastAsia"/>
                <w:szCs w:val="21"/>
              </w:rPr>
              <w:t>一、《广西住房城乡建设系统行政处罚自由裁量基准》部分项目违法情节对应的判断标准仍不够清晰。例如常见的B307.12项，轻微违法情节的判断标准为“初次违法，未造成后果或危害后果轻微”，一般违法情节的判断标准为“其他情形”，严重违法情节的判断标准为“工程项目不符合发放施工许可或开工报告条件，无法补办施工许可证或开工报告的；其他情节恶劣，或造成严重后果的违法行为”，其中一般违法情节的判断标准无实际内容，需采用排除法排除掉一般违法情节和严重违法情节后才能得出结论，而轻微违法情节的判断标准中只有“初次违法”“未造成后果”有判断价值，“危害后果轻微”仍属没有可判断内容的标准，而严重违法情节的判断标准中“或造成严重后果”的内容情况相同；这一点在B307.13项中更为明显，轻微违法情节的判断标准为“未造成后果或造成轻微危害后果的”，一般违法情节的判断标准为“造成一般危害后果的”，严重违法情节的判断标准为“造成严重危害后果的”，基本没有实际可参考的判断内容。</w:t>
            </w:r>
          </w:p>
          <w:p w:rsidR="004E5FB6" w:rsidRPr="00D64EFA" w:rsidRDefault="004E5FB6" w:rsidP="004E5FB6">
            <w:pPr>
              <w:rPr>
                <w:rFonts w:ascii="宋体" w:eastAsia="宋体" w:hAnsi="宋体" w:cs="仿宋_GB2312"/>
                <w:color w:val="FF0000"/>
                <w:szCs w:val="21"/>
              </w:rPr>
            </w:pPr>
            <w:r w:rsidRPr="004E5FB6">
              <w:rPr>
                <w:rFonts w:ascii="宋体" w:eastAsia="宋体" w:hAnsi="宋体" w:cs="仿宋_GB2312" w:hint="eastAsia"/>
                <w:szCs w:val="21"/>
              </w:rPr>
              <w:t xml:space="preserve">        </w:t>
            </w:r>
            <w:r w:rsidRPr="00D64EFA">
              <w:rPr>
                <w:rFonts w:ascii="宋体" w:eastAsia="宋体" w:hAnsi="宋体" w:cs="仿宋_GB2312" w:hint="eastAsia"/>
                <w:color w:val="FF0000"/>
                <w:szCs w:val="21"/>
              </w:rPr>
              <w:t>二、原有的部分依据规章列出的行政处罚事项，之后有更高位阶的法律法规出台，涉及的事项如何执行需要释疑。例如《建筑起重机械安全监督管理规定》和《中华人民共和国特种设备安全法》之间的关系需释疑。</w:t>
            </w:r>
          </w:p>
          <w:p w:rsidR="00F93B21" w:rsidRDefault="004E5FB6" w:rsidP="004E5FB6">
            <w:pPr>
              <w:rPr>
                <w:rFonts w:ascii="宋体" w:eastAsia="宋体" w:hAnsi="宋体" w:cs="仿宋_GB2312"/>
                <w:szCs w:val="21"/>
              </w:rPr>
            </w:pPr>
            <w:r w:rsidRPr="004E5FB6">
              <w:rPr>
                <w:rFonts w:ascii="宋体" w:eastAsia="宋体" w:hAnsi="宋体" w:cs="仿宋_GB2312" w:hint="eastAsia"/>
                <w:szCs w:val="21"/>
              </w:rPr>
              <w:t xml:space="preserve">        三、增减修订表依据《消防法》新增的部分行政处罚事项，如“公众聚集场所未经消防安全检查或者经检查不符合消防安全要求，擅自投入使用、营业的”执法主体，第六十条第一款所列违法行为的执法主体是否住房和城乡建设主管部门？建议释疑。</w:t>
            </w:r>
          </w:p>
        </w:tc>
        <w:tc>
          <w:tcPr>
            <w:tcW w:w="1417" w:type="dxa"/>
            <w:tcBorders>
              <w:top w:val="single" w:sz="4" w:space="0" w:color="auto"/>
              <w:left w:val="nil"/>
              <w:bottom w:val="single" w:sz="4" w:space="0" w:color="auto"/>
              <w:right w:val="single" w:sz="4" w:space="0" w:color="auto"/>
            </w:tcBorders>
            <w:vAlign w:val="center"/>
          </w:tcPr>
          <w:p w:rsidR="00F93B21" w:rsidRDefault="00D64EFA">
            <w:pPr>
              <w:jc w:val="center"/>
              <w:rPr>
                <w:rFonts w:ascii="方正仿宋_GBK" w:hAnsi="方正仿宋_GBK"/>
                <w:szCs w:val="21"/>
              </w:rPr>
            </w:pPr>
            <w:r>
              <w:rPr>
                <w:rFonts w:ascii="方正仿宋_GBK" w:hAnsi="方正仿宋_GBK" w:hint="eastAsia"/>
                <w:szCs w:val="21"/>
              </w:rPr>
              <w:t>部分采纳</w:t>
            </w: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t>12</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rPr>
                <w:rFonts w:ascii="宋体" w:eastAsia="宋体" w:hAnsi="宋体" w:cs="仿宋_GB2312"/>
                <w:szCs w:val="21"/>
              </w:rPr>
            </w:pPr>
            <w:r>
              <w:rPr>
                <w:rFonts w:ascii="宋体" w:eastAsia="宋体" w:hAnsi="宋体" w:cs="仿宋_GB2312" w:hint="eastAsia"/>
                <w:szCs w:val="21"/>
              </w:rPr>
              <w:t>梧州市住房和城乡建设局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宋体" w:eastAsia="宋体" w:hAnsi="宋体" w:cs="仿宋_GB2312"/>
                <w:bCs/>
                <w:color w:val="000000"/>
                <w:szCs w:val="21"/>
              </w:rPr>
            </w:pPr>
            <w:r>
              <w:rPr>
                <w:rFonts w:ascii="宋体" w:eastAsia="宋体" w:hAnsi="宋体" w:cs="仿宋_GB2312" w:hint="eastAsia"/>
                <w:bCs/>
                <w:color w:val="000000"/>
                <w:szCs w:val="21"/>
              </w:rPr>
              <w:t>一、《征求意见稿》B201.58.5违反条款应是《中华人民共和国消防法》第十三条，而不是十五条。</w:t>
            </w:r>
          </w:p>
          <w:p w:rsidR="00F93B21" w:rsidRDefault="00F93B21">
            <w:pPr>
              <w:rPr>
                <w:rFonts w:ascii="宋体" w:eastAsia="宋体" w:hAnsi="宋体" w:cs="仿宋_GB2312"/>
                <w:bCs/>
                <w:color w:val="000000"/>
                <w:szCs w:val="21"/>
              </w:rPr>
            </w:pPr>
            <w:r>
              <w:rPr>
                <w:rFonts w:ascii="宋体" w:eastAsia="宋体" w:hAnsi="宋体" w:cs="仿宋_GB2312" w:hint="eastAsia"/>
                <w:bCs/>
                <w:color w:val="000000"/>
                <w:szCs w:val="21"/>
              </w:rPr>
              <w:t xml:space="preserve"> 二、根据《中华人民共和国消防法》第六十条的规定，执法主体不是住房和城乡建设主管部门，故《征求意见稿》中B201.60.1，B201.60.2，B201.60.3，B201.60.4，B201.61所</w:t>
            </w:r>
            <w:proofErr w:type="gramStart"/>
            <w:r>
              <w:rPr>
                <w:rFonts w:ascii="宋体" w:eastAsia="宋体" w:hAnsi="宋体" w:cs="仿宋_GB2312" w:hint="eastAsia"/>
                <w:bCs/>
                <w:color w:val="000000"/>
                <w:szCs w:val="21"/>
              </w:rPr>
              <w:t>涉职能不属于住建部门</w:t>
            </w:r>
            <w:proofErr w:type="gramEnd"/>
            <w:r>
              <w:rPr>
                <w:rFonts w:ascii="宋体" w:eastAsia="宋体" w:hAnsi="宋体" w:cs="仿宋_GB2312" w:hint="eastAsia"/>
                <w:bCs/>
                <w:color w:val="000000"/>
                <w:szCs w:val="21"/>
              </w:rPr>
              <w:t>职责。</w:t>
            </w:r>
          </w:p>
        </w:tc>
        <w:tc>
          <w:tcPr>
            <w:tcW w:w="1417" w:type="dxa"/>
            <w:tcBorders>
              <w:top w:val="single" w:sz="4" w:space="0" w:color="auto"/>
              <w:left w:val="nil"/>
              <w:bottom w:val="single" w:sz="4" w:space="0" w:color="auto"/>
              <w:right w:val="single" w:sz="4" w:space="0" w:color="auto"/>
            </w:tcBorders>
            <w:vAlign w:val="center"/>
          </w:tcPr>
          <w:p w:rsidR="00F93B21" w:rsidRDefault="00A313A3">
            <w:pPr>
              <w:jc w:val="center"/>
              <w:rPr>
                <w:rFonts w:ascii="方正仿宋_GBK" w:hAnsi="方正仿宋_GBK"/>
                <w:szCs w:val="21"/>
              </w:rPr>
            </w:pPr>
            <w:r>
              <w:rPr>
                <w:rFonts w:ascii="方正仿宋_GBK" w:hAnsi="方正仿宋_GBK" w:hint="eastAsia"/>
                <w:szCs w:val="21"/>
              </w:rPr>
              <w:t>采纳</w:t>
            </w: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lastRenderedPageBreak/>
              <w:t>13</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ind w:firstLineChars="1400" w:firstLine="2940"/>
              <w:rPr>
                <w:rFonts w:asciiTheme="minorEastAsia" w:hAnsiTheme="minorEastAsia" w:cs="仿宋_GB2312"/>
                <w:szCs w:val="21"/>
              </w:rPr>
            </w:pPr>
            <w:proofErr w:type="gramStart"/>
            <w:r>
              <w:rPr>
                <w:rFonts w:ascii="宋体" w:eastAsia="宋体" w:hAnsi="宋体" w:cs="仿宋_GB2312" w:hint="eastAsia"/>
                <w:szCs w:val="21"/>
              </w:rPr>
              <w:t>梧</w:t>
            </w:r>
            <w:proofErr w:type="gramEnd"/>
            <w:r>
              <w:rPr>
                <w:rFonts w:asciiTheme="minorEastAsia" w:hAnsiTheme="minorEastAsia" w:cs="仿宋_GB2312" w:hint="eastAsia"/>
                <w:szCs w:val="21"/>
              </w:rPr>
              <w:t>梧州</w:t>
            </w:r>
            <w:r>
              <w:rPr>
                <w:rFonts w:ascii="宋体" w:eastAsia="宋体" w:hAnsi="宋体" w:cs="仿宋_GB2312" w:hint="eastAsia"/>
                <w:szCs w:val="21"/>
              </w:rPr>
              <w:t>市城市管理监督局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pStyle w:val="1"/>
              <w:rPr>
                <w:rFonts w:ascii="宋体" w:hAnsi="宋体" w:cs="仿宋_GB2312"/>
                <w:b w:val="0"/>
                <w:bCs w:val="0"/>
                <w:sz w:val="21"/>
                <w:szCs w:val="21"/>
              </w:rPr>
            </w:pPr>
            <w:r>
              <w:rPr>
                <w:rFonts w:ascii="宋体" w:hAnsi="宋体" w:cs="仿宋_GB2312" w:hint="eastAsia"/>
                <w:sz w:val="21"/>
                <w:szCs w:val="21"/>
              </w:rPr>
              <w:t>建议：</w:t>
            </w:r>
            <w:r>
              <w:rPr>
                <w:rFonts w:ascii="宋体" w:hAnsi="宋体" w:cs="仿宋_GB2312" w:hint="eastAsia"/>
                <w:b w:val="0"/>
                <w:bCs w:val="0"/>
                <w:sz w:val="21"/>
                <w:szCs w:val="21"/>
              </w:rPr>
              <w:t>删除《广西住房城乡建设系统行政处罚自由裁量权基准（暂行）》（城乡规划建设类）中第19页至第28页《风景名胜区条例》C103.40.1—C103.46 和</w:t>
            </w:r>
            <w:bookmarkStart w:id="1" w:name="_Toc437932911"/>
            <w:r>
              <w:rPr>
                <w:rFonts w:ascii="宋体" w:hAnsi="宋体" w:cs="仿宋_GB2312" w:hint="eastAsia"/>
                <w:b w:val="0"/>
                <w:bCs w:val="0"/>
                <w:sz w:val="21"/>
                <w:szCs w:val="21"/>
              </w:rPr>
              <w:t>第29页至第35页《广西壮族自治区风景名胜区条例》C104.3</w:t>
            </w:r>
            <w:bookmarkEnd w:id="1"/>
            <w:r>
              <w:rPr>
                <w:rFonts w:ascii="宋体" w:hAnsi="宋体" w:cs="仿宋_GB2312" w:hint="eastAsia"/>
                <w:b w:val="0"/>
                <w:bCs w:val="0"/>
                <w:sz w:val="21"/>
                <w:szCs w:val="21"/>
              </w:rPr>
              <w:t>8—C104.46.2的内容。</w:t>
            </w:r>
          </w:p>
          <w:p w:rsidR="00F93B21" w:rsidRDefault="00F93B21">
            <w:pPr>
              <w:rPr>
                <w:rFonts w:asciiTheme="minorEastAsia" w:hAnsiTheme="minorEastAsia" w:cs="仿宋_GB2312"/>
                <w:szCs w:val="21"/>
              </w:rPr>
            </w:pPr>
            <w:r>
              <w:rPr>
                <w:rFonts w:ascii="宋体" w:eastAsia="宋体" w:hAnsi="宋体" w:cs="仿宋_GB2312" w:hint="eastAsia"/>
                <w:b/>
                <w:bCs/>
                <w:szCs w:val="21"/>
              </w:rPr>
              <w:t>理由：</w:t>
            </w:r>
            <w:r>
              <w:rPr>
                <w:rFonts w:ascii="宋体" w:eastAsia="宋体" w:hAnsi="宋体" w:cs="仿宋_GB2312" w:hint="eastAsia"/>
                <w:kern w:val="44"/>
                <w:szCs w:val="21"/>
              </w:rPr>
              <w:t>涉及风</w:t>
            </w:r>
            <w:r>
              <w:rPr>
                <w:rFonts w:ascii="宋体" w:eastAsia="宋体" w:hAnsi="宋体" w:cs="仿宋_GB2312" w:hint="eastAsia"/>
                <w:szCs w:val="21"/>
              </w:rPr>
              <w:t>景名胜管理和查处职责已划给林业部门，自由裁量权基准制定的主体发生了变化。</w:t>
            </w:r>
          </w:p>
        </w:tc>
        <w:tc>
          <w:tcPr>
            <w:tcW w:w="1417" w:type="dxa"/>
            <w:tcBorders>
              <w:top w:val="single" w:sz="4" w:space="0" w:color="auto"/>
              <w:left w:val="nil"/>
              <w:bottom w:val="single" w:sz="4" w:space="0" w:color="auto"/>
              <w:right w:val="single" w:sz="4" w:space="0" w:color="auto"/>
            </w:tcBorders>
            <w:vAlign w:val="center"/>
          </w:tcPr>
          <w:p w:rsidR="00F93B21" w:rsidRDefault="00B91585">
            <w:pPr>
              <w:jc w:val="center"/>
              <w:rPr>
                <w:rFonts w:ascii="方正仿宋_GBK" w:hAnsi="方正仿宋_GBK"/>
                <w:szCs w:val="21"/>
              </w:rPr>
            </w:pPr>
            <w:r>
              <w:rPr>
                <w:rFonts w:ascii="方正仿宋_GBK" w:hAnsi="方正仿宋_GBK" w:hint="eastAsia"/>
                <w:szCs w:val="21"/>
              </w:rPr>
              <w:t>不予采纳</w:t>
            </w: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t>14</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Theme="minorEastAsia" w:hAnsiTheme="minorEastAsia" w:cs="仿宋_GB2312"/>
                <w:szCs w:val="21"/>
              </w:rPr>
            </w:pPr>
            <w:r>
              <w:rPr>
                <w:rFonts w:ascii="宋体" w:eastAsia="宋体" w:hAnsi="宋体" w:cs="仿宋_GB2312" w:hint="eastAsia"/>
                <w:szCs w:val="21"/>
              </w:rPr>
              <w:t>南宁市住房和城乡建设局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宋体" w:eastAsia="宋体" w:hAnsi="宋体" w:cs="仿宋_GB2312"/>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t>15</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方正仿宋_GBK" w:hAnsi="方正仿宋_GBK"/>
                <w:szCs w:val="21"/>
              </w:rPr>
            </w:pPr>
            <w:r>
              <w:rPr>
                <w:rFonts w:ascii="方正仿宋_GBK" w:hAnsi="方正仿宋_GBK" w:hint="eastAsia"/>
                <w:szCs w:val="21"/>
              </w:rPr>
              <w:t>桂林市城市管理委员会</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t>16</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方正仿宋_GBK" w:hAnsi="方正仿宋_GBK"/>
                <w:szCs w:val="21"/>
              </w:rPr>
            </w:pPr>
            <w:r>
              <w:rPr>
                <w:rFonts w:ascii="方正仿宋_GBK" w:hAnsi="方正仿宋_GBK" w:hint="eastAsia"/>
                <w:szCs w:val="21"/>
              </w:rPr>
              <w:t>柳州市林业和园林局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proofErr w:type="gramStart"/>
            <w:r>
              <w:rPr>
                <w:rFonts w:ascii="方正仿宋_GBK" w:hAnsi="方正仿宋_GBK" w:hint="eastAsia"/>
                <w:szCs w:val="21"/>
              </w:rPr>
              <w:t>吴意见</w:t>
            </w:r>
            <w:proofErr w:type="gramEnd"/>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t>17</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方正仿宋_GBK" w:hAnsi="方正仿宋_GBK"/>
                <w:szCs w:val="21"/>
              </w:rPr>
            </w:pPr>
            <w:r>
              <w:rPr>
                <w:rFonts w:ascii="方正仿宋_GBK" w:hAnsi="方正仿宋_GBK" w:hint="eastAsia"/>
                <w:szCs w:val="21"/>
              </w:rPr>
              <w:t>贺州市城市管理局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t>18</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方正仿宋_GBK" w:hAnsi="方正仿宋_GBK"/>
                <w:szCs w:val="21"/>
              </w:rPr>
            </w:pPr>
            <w:r>
              <w:rPr>
                <w:rFonts w:ascii="方正仿宋_GBK" w:hAnsi="方正仿宋_GBK" w:hint="eastAsia"/>
                <w:szCs w:val="21"/>
              </w:rPr>
              <w:t>贺州市住房公积金管理中心</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t>19</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方正仿宋_GBK" w:hAnsi="方正仿宋_GBK"/>
                <w:szCs w:val="21"/>
              </w:rPr>
            </w:pPr>
            <w:r>
              <w:rPr>
                <w:rFonts w:ascii="方正仿宋_GBK" w:hAnsi="方正仿宋_GBK" w:hint="eastAsia"/>
                <w:szCs w:val="21"/>
              </w:rPr>
              <w:t>梧州市住房公积金管理中心</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t>20</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Theme="minorEastAsia" w:hAnsiTheme="minorEastAsia"/>
                <w:szCs w:val="21"/>
              </w:rPr>
            </w:pPr>
            <w:r>
              <w:rPr>
                <w:rFonts w:asciiTheme="minorEastAsia" w:hAnsiTheme="minorEastAsia" w:cs="仿宋_GB2312" w:hint="eastAsia"/>
                <w:szCs w:val="21"/>
              </w:rPr>
              <w:t>贵港市住房和城乡建设局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t>21</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Theme="minorEastAsia" w:hAnsiTheme="minorEastAsia" w:cs="仿宋_GB2312"/>
                <w:szCs w:val="21"/>
              </w:rPr>
            </w:pPr>
            <w:r>
              <w:rPr>
                <w:rFonts w:asciiTheme="minorEastAsia" w:hAnsiTheme="minorEastAsia" w:cs="仿宋_GB2312" w:hint="eastAsia"/>
                <w:szCs w:val="21"/>
              </w:rPr>
              <w:t>贵港市城市管理监督局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t>22</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方正仿宋_GBK" w:hAnsi="方正仿宋_GBK"/>
                <w:szCs w:val="21"/>
              </w:rPr>
            </w:pPr>
            <w:r>
              <w:rPr>
                <w:rFonts w:ascii="方正仿宋_GBK" w:hAnsi="方正仿宋_GBK" w:hint="eastAsia"/>
                <w:szCs w:val="21"/>
              </w:rPr>
              <w:t>贵港市住房公积金管理中心</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9A487F">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rsidP="009A487F">
            <w:pPr>
              <w:jc w:val="center"/>
              <w:rPr>
                <w:rFonts w:ascii="方正仿宋_GBK" w:hAnsi="方正仿宋_GBK"/>
                <w:szCs w:val="21"/>
              </w:rPr>
            </w:pPr>
            <w:r>
              <w:rPr>
                <w:rFonts w:ascii="方正仿宋_GBK" w:hAnsi="方正仿宋_GBK" w:hint="eastAsia"/>
                <w:szCs w:val="21"/>
              </w:rPr>
              <w:t>23</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方正仿宋_GBK" w:hAnsi="方正仿宋_GBK"/>
                <w:szCs w:val="21"/>
              </w:rPr>
            </w:pPr>
            <w:r>
              <w:rPr>
                <w:rFonts w:ascii="方正仿宋_GBK" w:hAnsi="方正仿宋_GBK" w:hint="eastAsia"/>
                <w:szCs w:val="21"/>
              </w:rPr>
              <w:t>玉林市住房和</w:t>
            </w:r>
            <w:r w:rsidR="005D3F1A">
              <w:rPr>
                <w:rFonts w:ascii="方正仿宋_GBK" w:hAnsi="方正仿宋_GBK" w:hint="eastAsia"/>
                <w:szCs w:val="21"/>
              </w:rPr>
              <w:t>河池</w:t>
            </w:r>
            <w:r>
              <w:rPr>
                <w:rFonts w:ascii="方正仿宋_GBK" w:hAnsi="方正仿宋_GBK" w:hint="eastAsia"/>
                <w:szCs w:val="21"/>
              </w:rPr>
              <w:t>城乡建设局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771"/>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lastRenderedPageBreak/>
              <w:t>24</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方正仿宋_GBK" w:hAnsi="方正仿宋_GBK"/>
                <w:szCs w:val="21"/>
              </w:rPr>
            </w:pPr>
            <w:r>
              <w:rPr>
                <w:rFonts w:ascii="方正仿宋_GBK" w:hAnsi="方正仿宋_GBK" w:hint="eastAsia"/>
                <w:szCs w:val="21"/>
              </w:rPr>
              <w:t>北海市综合行政执法局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t>25</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Theme="minorEastAsia" w:hAnsiTheme="minorEastAsia"/>
                <w:szCs w:val="21"/>
              </w:rPr>
            </w:pPr>
            <w:r>
              <w:rPr>
                <w:rFonts w:ascii="宋体" w:eastAsia="宋体" w:hAnsi="宋体" w:cs="Times New Roman" w:hint="eastAsia"/>
                <w:szCs w:val="21"/>
              </w:rPr>
              <w:t>崇左市住房和城乡建设局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t>26</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方正仿宋_GBK" w:hAnsi="方正仿宋_GBK"/>
                <w:szCs w:val="21"/>
              </w:rPr>
            </w:pPr>
            <w:r>
              <w:rPr>
                <w:rFonts w:ascii="方正仿宋_GBK" w:hAnsi="方正仿宋_GBK" w:hint="eastAsia"/>
                <w:szCs w:val="21"/>
              </w:rPr>
              <w:t>崇左市住房公积金管理中心</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t>27</w:t>
            </w:r>
          </w:p>
        </w:tc>
        <w:tc>
          <w:tcPr>
            <w:tcW w:w="2220" w:type="dxa"/>
            <w:tcBorders>
              <w:top w:val="single" w:sz="4" w:space="0" w:color="auto"/>
              <w:left w:val="nil"/>
              <w:bottom w:val="single" w:sz="4" w:space="0" w:color="auto"/>
              <w:right w:val="single" w:sz="4" w:space="0" w:color="auto"/>
            </w:tcBorders>
            <w:vAlign w:val="center"/>
            <w:hideMark/>
          </w:tcPr>
          <w:p w:rsidR="00F93B21" w:rsidRDefault="005D3F1A">
            <w:pPr>
              <w:rPr>
                <w:rFonts w:asciiTheme="minorEastAsia" w:hAnsiTheme="minorEastAsia"/>
                <w:color w:val="000000"/>
                <w:szCs w:val="21"/>
              </w:rPr>
            </w:pPr>
            <w:r>
              <w:rPr>
                <w:rFonts w:ascii="宋体" w:eastAsia="宋体" w:hAnsi="宋体" w:cs="Times New Roman" w:hint="eastAsia"/>
                <w:color w:val="000000"/>
                <w:szCs w:val="21"/>
              </w:rPr>
              <w:t>河</w:t>
            </w:r>
            <w:r w:rsidR="00F93B21">
              <w:rPr>
                <w:rFonts w:ascii="宋体" w:eastAsia="宋体" w:hAnsi="宋体" w:cs="Times New Roman" w:hint="eastAsia"/>
                <w:color w:val="000000"/>
                <w:szCs w:val="21"/>
              </w:rPr>
              <w:t>池市住房和城乡建设局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t>28</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方正仿宋_GBK" w:hAnsi="方正仿宋_GBK"/>
                <w:szCs w:val="21"/>
              </w:rPr>
            </w:pPr>
            <w:r>
              <w:rPr>
                <w:rFonts w:ascii="方正仿宋_GBK" w:hAnsi="方正仿宋_GBK" w:hint="eastAsia"/>
                <w:szCs w:val="21"/>
              </w:rPr>
              <w:t>河池住房公积金管理中心</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9A487F">
            <w:pPr>
              <w:jc w:val="center"/>
              <w:rPr>
                <w:rFonts w:ascii="方正仿宋_GBK" w:hAnsi="方正仿宋_GBK"/>
                <w:szCs w:val="21"/>
              </w:rPr>
            </w:pPr>
            <w:r>
              <w:rPr>
                <w:rFonts w:ascii="方正仿宋_GBK" w:hAnsi="方正仿宋_GBK" w:hint="eastAsia"/>
                <w:szCs w:val="21"/>
              </w:rPr>
              <w:t>29</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方正仿宋_GBK" w:hAnsi="方正仿宋_GBK"/>
                <w:szCs w:val="21"/>
              </w:rPr>
            </w:pPr>
            <w:r>
              <w:rPr>
                <w:rFonts w:ascii="方正仿宋_GBK" w:hAnsi="方正仿宋_GBK" w:hint="eastAsia"/>
                <w:szCs w:val="21"/>
              </w:rPr>
              <w:t>防城港市住房和城乡建设局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AD2C90"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AD2C90" w:rsidRDefault="00AD2C90">
            <w:pPr>
              <w:jc w:val="center"/>
              <w:rPr>
                <w:rFonts w:ascii="方正仿宋_GBK" w:hAnsi="方正仿宋_GBK"/>
                <w:szCs w:val="21"/>
              </w:rPr>
            </w:pPr>
            <w:r>
              <w:rPr>
                <w:rFonts w:ascii="方正仿宋_GBK" w:hAnsi="方正仿宋_GBK" w:hint="eastAsia"/>
                <w:szCs w:val="21"/>
              </w:rPr>
              <w:t>30</w:t>
            </w:r>
          </w:p>
        </w:tc>
        <w:tc>
          <w:tcPr>
            <w:tcW w:w="2220" w:type="dxa"/>
            <w:tcBorders>
              <w:top w:val="single" w:sz="4" w:space="0" w:color="auto"/>
              <w:left w:val="nil"/>
              <w:bottom w:val="single" w:sz="4" w:space="0" w:color="auto"/>
              <w:right w:val="single" w:sz="4" w:space="0" w:color="auto"/>
            </w:tcBorders>
            <w:vAlign w:val="center"/>
            <w:hideMark/>
          </w:tcPr>
          <w:p w:rsidR="00AD2C90" w:rsidRDefault="00AD2C90">
            <w:pPr>
              <w:jc w:val="center"/>
              <w:rPr>
                <w:rFonts w:ascii="方正仿宋_GBK" w:hAnsi="方正仿宋_GBK"/>
                <w:szCs w:val="21"/>
              </w:rPr>
            </w:pPr>
            <w:proofErr w:type="gramStart"/>
            <w:r>
              <w:rPr>
                <w:rFonts w:ascii="方正仿宋_GBK" w:hAnsi="方正仿宋_GBK" w:hint="eastAsia"/>
                <w:szCs w:val="21"/>
              </w:rPr>
              <w:t>来宾市</w:t>
            </w:r>
            <w:proofErr w:type="gramEnd"/>
            <w:r>
              <w:rPr>
                <w:rFonts w:ascii="方正仿宋_GBK" w:hAnsi="方正仿宋_GBK" w:hint="eastAsia"/>
                <w:szCs w:val="21"/>
              </w:rPr>
              <w:t>住建局</w:t>
            </w:r>
          </w:p>
        </w:tc>
        <w:tc>
          <w:tcPr>
            <w:tcW w:w="8032" w:type="dxa"/>
            <w:tcBorders>
              <w:top w:val="single" w:sz="4" w:space="0" w:color="auto"/>
              <w:left w:val="nil"/>
              <w:bottom w:val="single" w:sz="4" w:space="0" w:color="auto"/>
              <w:right w:val="single" w:sz="4" w:space="0" w:color="auto"/>
            </w:tcBorders>
            <w:vAlign w:val="center"/>
            <w:hideMark/>
          </w:tcPr>
          <w:p w:rsidR="00AD2C90" w:rsidRDefault="00AD2C90">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AD2C90" w:rsidRDefault="00AD2C90">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AD2C90" w:rsidRDefault="00AD2C90">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AD2C90">
            <w:pPr>
              <w:jc w:val="center"/>
              <w:rPr>
                <w:rFonts w:ascii="方正仿宋_GBK" w:hAnsi="方正仿宋_GBK"/>
                <w:szCs w:val="21"/>
              </w:rPr>
            </w:pPr>
            <w:r>
              <w:rPr>
                <w:rFonts w:ascii="方正仿宋_GBK" w:hAnsi="方正仿宋_GBK" w:hint="eastAsia"/>
                <w:szCs w:val="21"/>
              </w:rPr>
              <w:t>31</w:t>
            </w:r>
          </w:p>
        </w:tc>
        <w:tc>
          <w:tcPr>
            <w:tcW w:w="2220" w:type="dxa"/>
            <w:tcBorders>
              <w:top w:val="single" w:sz="4" w:space="0" w:color="auto"/>
              <w:left w:val="nil"/>
              <w:bottom w:val="single" w:sz="4" w:space="0" w:color="auto"/>
              <w:right w:val="single" w:sz="4" w:space="0" w:color="auto"/>
            </w:tcBorders>
            <w:vAlign w:val="center"/>
            <w:hideMark/>
          </w:tcPr>
          <w:p w:rsidR="00F93B21" w:rsidRDefault="00F93B21">
            <w:pPr>
              <w:jc w:val="center"/>
              <w:rPr>
                <w:rFonts w:ascii="方正仿宋_GBK" w:hAnsi="方正仿宋_GBK"/>
                <w:szCs w:val="21"/>
              </w:rPr>
            </w:pPr>
            <w:proofErr w:type="gramStart"/>
            <w:r>
              <w:rPr>
                <w:rFonts w:ascii="方正仿宋_GBK" w:hAnsi="方正仿宋_GBK" w:hint="eastAsia"/>
                <w:szCs w:val="21"/>
              </w:rPr>
              <w:t>来宾市</w:t>
            </w:r>
            <w:proofErr w:type="gramEnd"/>
            <w:r>
              <w:rPr>
                <w:rFonts w:ascii="方正仿宋_GBK" w:hAnsi="方正仿宋_GBK" w:hint="eastAsia"/>
                <w:szCs w:val="21"/>
              </w:rPr>
              <w:t>城市管理局</w:t>
            </w:r>
          </w:p>
        </w:tc>
        <w:tc>
          <w:tcPr>
            <w:tcW w:w="8032" w:type="dxa"/>
            <w:tcBorders>
              <w:top w:val="single" w:sz="4" w:space="0" w:color="auto"/>
              <w:left w:val="nil"/>
              <w:bottom w:val="single" w:sz="4" w:space="0" w:color="auto"/>
              <w:right w:val="single" w:sz="4" w:space="0" w:color="auto"/>
            </w:tcBorders>
            <w:vAlign w:val="center"/>
            <w:hideMark/>
          </w:tcPr>
          <w:p w:rsidR="00F93B21" w:rsidRDefault="00F93B21">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F93B21"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F93B21" w:rsidRDefault="00AD2C90">
            <w:pPr>
              <w:jc w:val="center"/>
              <w:rPr>
                <w:rFonts w:ascii="方正仿宋_GBK" w:hAnsi="方正仿宋_GBK"/>
                <w:szCs w:val="21"/>
              </w:rPr>
            </w:pPr>
            <w:r>
              <w:rPr>
                <w:rFonts w:ascii="方正仿宋_GBK" w:hAnsi="方正仿宋_GBK" w:hint="eastAsia"/>
                <w:szCs w:val="21"/>
              </w:rPr>
              <w:t>32</w:t>
            </w:r>
          </w:p>
        </w:tc>
        <w:tc>
          <w:tcPr>
            <w:tcW w:w="2220" w:type="dxa"/>
            <w:tcBorders>
              <w:top w:val="single" w:sz="4" w:space="0" w:color="auto"/>
              <w:left w:val="nil"/>
              <w:bottom w:val="single" w:sz="4" w:space="0" w:color="auto"/>
              <w:right w:val="single" w:sz="4" w:space="0" w:color="auto"/>
            </w:tcBorders>
            <w:vAlign w:val="center"/>
          </w:tcPr>
          <w:p w:rsidR="00F93B21" w:rsidRDefault="007B79E4">
            <w:pPr>
              <w:jc w:val="center"/>
              <w:rPr>
                <w:rFonts w:ascii="方正仿宋_GBK" w:hAnsi="方正仿宋_GBK"/>
                <w:szCs w:val="21"/>
              </w:rPr>
            </w:pPr>
            <w:r>
              <w:rPr>
                <w:rFonts w:ascii="方正仿宋_GBK" w:hAnsi="方正仿宋_GBK" w:hint="eastAsia"/>
                <w:szCs w:val="21"/>
              </w:rPr>
              <w:t>玉林市城市管理监督局</w:t>
            </w:r>
          </w:p>
        </w:tc>
        <w:tc>
          <w:tcPr>
            <w:tcW w:w="8032" w:type="dxa"/>
            <w:tcBorders>
              <w:top w:val="single" w:sz="4" w:space="0" w:color="auto"/>
              <w:left w:val="nil"/>
              <w:bottom w:val="single" w:sz="4" w:space="0" w:color="auto"/>
              <w:right w:val="single" w:sz="4" w:space="0" w:color="auto"/>
            </w:tcBorders>
            <w:vAlign w:val="center"/>
          </w:tcPr>
          <w:p w:rsidR="00F93B21" w:rsidRDefault="007B79E4">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F93B21" w:rsidRDefault="00F93B21">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F93B21" w:rsidRDefault="00F93B21">
            <w:pPr>
              <w:jc w:val="left"/>
              <w:rPr>
                <w:rFonts w:ascii="方正仿宋_GBK" w:hAnsi="方正仿宋_GBK"/>
                <w:szCs w:val="21"/>
              </w:rPr>
            </w:pPr>
          </w:p>
        </w:tc>
      </w:tr>
      <w:tr w:rsidR="00AA5147" w:rsidTr="00F93B21">
        <w:trPr>
          <w:cantSplit/>
          <w:trHeight w:val="532"/>
          <w:jc w:val="center"/>
        </w:trPr>
        <w:tc>
          <w:tcPr>
            <w:tcW w:w="645" w:type="dxa"/>
            <w:tcBorders>
              <w:top w:val="single" w:sz="4" w:space="0" w:color="auto"/>
              <w:left w:val="single" w:sz="4" w:space="0" w:color="auto"/>
              <w:bottom w:val="single" w:sz="4" w:space="0" w:color="auto"/>
              <w:right w:val="single" w:sz="4" w:space="0" w:color="auto"/>
            </w:tcBorders>
            <w:vAlign w:val="center"/>
          </w:tcPr>
          <w:p w:rsidR="00AA5147" w:rsidRDefault="00AA5147">
            <w:pPr>
              <w:jc w:val="center"/>
              <w:rPr>
                <w:rFonts w:ascii="方正仿宋_GBK" w:hAnsi="方正仿宋_GBK"/>
                <w:szCs w:val="21"/>
              </w:rPr>
            </w:pPr>
            <w:r>
              <w:rPr>
                <w:rFonts w:ascii="方正仿宋_GBK" w:hAnsi="方正仿宋_GBK" w:hint="eastAsia"/>
                <w:szCs w:val="21"/>
              </w:rPr>
              <w:t>33</w:t>
            </w:r>
          </w:p>
        </w:tc>
        <w:tc>
          <w:tcPr>
            <w:tcW w:w="2220" w:type="dxa"/>
            <w:tcBorders>
              <w:top w:val="single" w:sz="4" w:space="0" w:color="auto"/>
              <w:left w:val="nil"/>
              <w:bottom w:val="single" w:sz="4" w:space="0" w:color="auto"/>
              <w:right w:val="single" w:sz="4" w:space="0" w:color="auto"/>
            </w:tcBorders>
            <w:vAlign w:val="center"/>
          </w:tcPr>
          <w:p w:rsidR="00AA5147" w:rsidRDefault="00AA5147">
            <w:pPr>
              <w:jc w:val="center"/>
              <w:rPr>
                <w:rFonts w:ascii="方正仿宋_GBK" w:hAnsi="方正仿宋_GBK"/>
                <w:szCs w:val="21"/>
              </w:rPr>
            </w:pPr>
            <w:r>
              <w:rPr>
                <w:rFonts w:ascii="方正仿宋_GBK" w:hAnsi="方正仿宋_GBK" w:hint="eastAsia"/>
                <w:szCs w:val="21"/>
              </w:rPr>
              <w:t>南宁市市政和园林管理局</w:t>
            </w:r>
          </w:p>
        </w:tc>
        <w:tc>
          <w:tcPr>
            <w:tcW w:w="8032" w:type="dxa"/>
            <w:tcBorders>
              <w:top w:val="single" w:sz="4" w:space="0" w:color="auto"/>
              <w:left w:val="nil"/>
              <w:bottom w:val="single" w:sz="4" w:space="0" w:color="auto"/>
              <w:right w:val="single" w:sz="4" w:space="0" w:color="auto"/>
            </w:tcBorders>
            <w:vAlign w:val="center"/>
          </w:tcPr>
          <w:p w:rsidR="00AA5147" w:rsidRPr="00AA5147" w:rsidRDefault="00AA5147">
            <w:pPr>
              <w:rPr>
                <w:rFonts w:ascii="方正仿宋_GBK" w:hAnsi="方正仿宋_GBK"/>
                <w:szCs w:val="21"/>
              </w:rPr>
            </w:pPr>
            <w:r>
              <w:rPr>
                <w:rFonts w:ascii="方正仿宋_GBK" w:hAnsi="方正仿宋_GBK" w:hint="eastAsia"/>
                <w:szCs w:val="21"/>
              </w:rPr>
              <w:t>无意见</w:t>
            </w:r>
          </w:p>
        </w:tc>
        <w:tc>
          <w:tcPr>
            <w:tcW w:w="1417" w:type="dxa"/>
            <w:tcBorders>
              <w:top w:val="single" w:sz="4" w:space="0" w:color="auto"/>
              <w:left w:val="nil"/>
              <w:bottom w:val="single" w:sz="4" w:space="0" w:color="auto"/>
              <w:right w:val="single" w:sz="4" w:space="0" w:color="auto"/>
            </w:tcBorders>
            <w:vAlign w:val="center"/>
          </w:tcPr>
          <w:p w:rsidR="00AA5147" w:rsidRDefault="00AA5147">
            <w:pPr>
              <w:jc w:val="center"/>
              <w:rPr>
                <w:rFonts w:ascii="方正仿宋_GBK" w:hAnsi="方正仿宋_GBK"/>
                <w:szCs w:val="21"/>
              </w:rPr>
            </w:pPr>
          </w:p>
        </w:tc>
        <w:tc>
          <w:tcPr>
            <w:tcW w:w="1276" w:type="dxa"/>
            <w:tcBorders>
              <w:top w:val="single" w:sz="4" w:space="0" w:color="auto"/>
              <w:left w:val="nil"/>
              <w:bottom w:val="single" w:sz="4" w:space="0" w:color="auto"/>
              <w:right w:val="single" w:sz="4" w:space="0" w:color="auto"/>
            </w:tcBorders>
            <w:vAlign w:val="center"/>
          </w:tcPr>
          <w:p w:rsidR="00AA5147" w:rsidRDefault="00AA5147">
            <w:pPr>
              <w:jc w:val="left"/>
              <w:rPr>
                <w:rFonts w:ascii="方正仿宋_GBK" w:hAnsi="方正仿宋_GBK"/>
                <w:szCs w:val="21"/>
              </w:rPr>
            </w:pPr>
          </w:p>
        </w:tc>
      </w:tr>
    </w:tbl>
    <w:p w:rsidR="002A7B18" w:rsidRDefault="002A7B18" w:rsidP="002A7B18">
      <w:pPr>
        <w:rPr>
          <w:rFonts w:ascii="仿宋_GB2312" w:eastAsia="仿宋_GB2312"/>
          <w:szCs w:val="21"/>
        </w:rPr>
      </w:pPr>
    </w:p>
    <w:p w:rsidR="00340D8B" w:rsidRDefault="00340D8B"/>
    <w:sectPr w:rsidR="00340D8B" w:rsidSect="002A7B18">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B20" w:rsidRDefault="00C16B20" w:rsidP="00013C7F">
      <w:r>
        <w:separator/>
      </w:r>
    </w:p>
  </w:endnote>
  <w:endnote w:type="continuationSeparator" w:id="0">
    <w:p w:rsidR="00C16B20" w:rsidRDefault="00C16B20" w:rsidP="00013C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B20" w:rsidRDefault="00C16B20" w:rsidP="00013C7F">
      <w:r>
        <w:separator/>
      </w:r>
    </w:p>
  </w:footnote>
  <w:footnote w:type="continuationSeparator" w:id="0">
    <w:p w:rsidR="00C16B20" w:rsidRDefault="00C16B20" w:rsidP="00013C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7B18"/>
    <w:rsid w:val="00013C7F"/>
    <w:rsid w:val="00036F85"/>
    <w:rsid w:val="00050BC8"/>
    <w:rsid w:val="00123795"/>
    <w:rsid w:val="00207498"/>
    <w:rsid w:val="00224363"/>
    <w:rsid w:val="002A7B18"/>
    <w:rsid w:val="00340D8B"/>
    <w:rsid w:val="003959BC"/>
    <w:rsid w:val="003A5C0F"/>
    <w:rsid w:val="003C6B68"/>
    <w:rsid w:val="004129E4"/>
    <w:rsid w:val="00445075"/>
    <w:rsid w:val="00454DAC"/>
    <w:rsid w:val="00463D1D"/>
    <w:rsid w:val="004E5FB6"/>
    <w:rsid w:val="004F28FA"/>
    <w:rsid w:val="00516AD1"/>
    <w:rsid w:val="0052168C"/>
    <w:rsid w:val="005244AA"/>
    <w:rsid w:val="005D34CF"/>
    <w:rsid w:val="005D3F1A"/>
    <w:rsid w:val="005E4583"/>
    <w:rsid w:val="00635E9C"/>
    <w:rsid w:val="00663521"/>
    <w:rsid w:val="006E25D6"/>
    <w:rsid w:val="006F6A06"/>
    <w:rsid w:val="00721B15"/>
    <w:rsid w:val="00741595"/>
    <w:rsid w:val="0076442C"/>
    <w:rsid w:val="007869D5"/>
    <w:rsid w:val="007B55AA"/>
    <w:rsid w:val="007B79E4"/>
    <w:rsid w:val="00847C11"/>
    <w:rsid w:val="00892AE8"/>
    <w:rsid w:val="008B7ED3"/>
    <w:rsid w:val="00934ED4"/>
    <w:rsid w:val="00983C90"/>
    <w:rsid w:val="009A487F"/>
    <w:rsid w:val="009D0121"/>
    <w:rsid w:val="009E4D97"/>
    <w:rsid w:val="00A313A3"/>
    <w:rsid w:val="00A46CFA"/>
    <w:rsid w:val="00AA5147"/>
    <w:rsid w:val="00AD2C90"/>
    <w:rsid w:val="00B36F71"/>
    <w:rsid w:val="00B65B80"/>
    <w:rsid w:val="00B91585"/>
    <w:rsid w:val="00BB214F"/>
    <w:rsid w:val="00C16B20"/>
    <w:rsid w:val="00C7164A"/>
    <w:rsid w:val="00CE7BC8"/>
    <w:rsid w:val="00D25602"/>
    <w:rsid w:val="00D27805"/>
    <w:rsid w:val="00D3433F"/>
    <w:rsid w:val="00D627FF"/>
    <w:rsid w:val="00D64EFA"/>
    <w:rsid w:val="00E47490"/>
    <w:rsid w:val="00E56AAB"/>
    <w:rsid w:val="00E90A6A"/>
    <w:rsid w:val="00F93B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B18"/>
    <w:pPr>
      <w:widowControl w:val="0"/>
      <w:jc w:val="both"/>
    </w:pPr>
  </w:style>
  <w:style w:type="paragraph" w:styleId="1">
    <w:name w:val="heading 1"/>
    <w:basedOn w:val="a0"/>
    <w:next w:val="a"/>
    <w:link w:val="1Char"/>
    <w:qFormat/>
    <w:rsid w:val="002A7B18"/>
    <w:pPr>
      <w:keepNext/>
      <w:keepLines/>
      <w:spacing w:before="0" w:after="0"/>
      <w:jc w:val="both"/>
    </w:pPr>
    <w:rPr>
      <w:rFonts w:ascii="Arial" w:hAnsi="Arial" w:cs="Arial"/>
      <w:kern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2A7B18"/>
    <w:rPr>
      <w:rFonts w:ascii="Arial" w:eastAsia="宋体" w:hAnsi="Arial" w:cs="Arial"/>
      <w:b/>
      <w:bCs/>
      <w:kern w:val="44"/>
      <w:sz w:val="32"/>
      <w:szCs w:val="44"/>
    </w:rPr>
  </w:style>
  <w:style w:type="paragraph" w:styleId="a4">
    <w:name w:val="Normal (Web)"/>
    <w:basedOn w:val="a"/>
    <w:unhideWhenUsed/>
    <w:rsid w:val="002A7B18"/>
    <w:pPr>
      <w:widowControl/>
      <w:spacing w:before="100" w:beforeAutospacing="1" w:after="100" w:afterAutospacing="1"/>
      <w:jc w:val="left"/>
    </w:pPr>
    <w:rPr>
      <w:rFonts w:ascii="宋体" w:eastAsia="宋体" w:hAnsi="宋体" w:cs="宋体"/>
      <w:kern w:val="0"/>
      <w:sz w:val="24"/>
      <w:szCs w:val="24"/>
    </w:rPr>
  </w:style>
  <w:style w:type="paragraph" w:styleId="a0">
    <w:name w:val="Title"/>
    <w:basedOn w:val="a"/>
    <w:next w:val="a"/>
    <w:link w:val="Char"/>
    <w:uiPriority w:val="10"/>
    <w:qFormat/>
    <w:rsid w:val="002A7B18"/>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1"/>
    <w:link w:val="a0"/>
    <w:uiPriority w:val="10"/>
    <w:rsid w:val="002A7B18"/>
    <w:rPr>
      <w:rFonts w:asciiTheme="majorHAnsi" w:eastAsia="宋体" w:hAnsiTheme="majorHAnsi" w:cstheme="majorBidi"/>
      <w:b/>
      <w:bCs/>
      <w:sz w:val="32"/>
      <w:szCs w:val="32"/>
    </w:rPr>
  </w:style>
  <w:style w:type="paragraph" w:styleId="a5">
    <w:name w:val="header"/>
    <w:basedOn w:val="a"/>
    <w:link w:val="Char0"/>
    <w:uiPriority w:val="99"/>
    <w:semiHidden/>
    <w:unhideWhenUsed/>
    <w:rsid w:val="00013C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semiHidden/>
    <w:rsid w:val="00013C7F"/>
    <w:rPr>
      <w:sz w:val="18"/>
      <w:szCs w:val="18"/>
    </w:rPr>
  </w:style>
  <w:style w:type="paragraph" w:styleId="a6">
    <w:name w:val="footer"/>
    <w:basedOn w:val="a"/>
    <w:link w:val="Char1"/>
    <w:uiPriority w:val="99"/>
    <w:semiHidden/>
    <w:unhideWhenUsed/>
    <w:rsid w:val="00013C7F"/>
    <w:pPr>
      <w:tabs>
        <w:tab w:val="center" w:pos="4153"/>
        <w:tab w:val="right" w:pos="8306"/>
      </w:tabs>
      <w:snapToGrid w:val="0"/>
      <w:jc w:val="left"/>
    </w:pPr>
    <w:rPr>
      <w:sz w:val="18"/>
      <w:szCs w:val="18"/>
    </w:rPr>
  </w:style>
  <w:style w:type="character" w:customStyle="1" w:styleId="Char1">
    <w:name w:val="页脚 Char"/>
    <w:basedOn w:val="a1"/>
    <w:link w:val="a6"/>
    <w:uiPriority w:val="99"/>
    <w:semiHidden/>
    <w:rsid w:val="00013C7F"/>
    <w:rPr>
      <w:sz w:val="18"/>
      <w:szCs w:val="18"/>
    </w:rPr>
  </w:style>
</w:styles>
</file>

<file path=word/webSettings.xml><?xml version="1.0" encoding="utf-8"?>
<w:webSettings xmlns:r="http://schemas.openxmlformats.org/officeDocument/2006/relationships" xmlns:w="http://schemas.openxmlformats.org/wordprocessingml/2006/main">
  <w:divs>
    <w:div w:id="67084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1554</TotalTime>
  <Pages>9</Pages>
  <Words>954</Words>
  <Characters>5442</Characters>
  <Application>Microsoft Office Word</Application>
  <DocSecurity>0</DocSecurity>
  <Lines>45</Lines>
  <Paragraphs>12</Paragraphs>
  <ScaleCrop>false</ScaleCrop>
  <Company>Microsoft</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韦炜</dc:creator>
  <cp:lastModifiedBy>韦炜</cp:lastModifiedBy>
  <cp:revision>21</cp:revision>
  <dcterms:created xsi:type="dcterms:W3CDTF">2020-01-09T09:26:00Z</dcterms:created>
  <dcterms:modified xsi:type="dcterms:W3CDTF">2020-03-03T08:58:00Z</dcterms:modified>
</cp:coreProperties>
</file>