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方正仿宋_GBK"/>
          <w:sz w:val="32"/>
          <w:szCs w:val="22"/>
        </w:rPr>
      </w:pPr>
      <w:r>
        <w:rPr>
          <w:rFonts w:hint="eastAsia" w:ascii="Times New Roman" w:hAnsi="Times New Roman" w:eastAsia="方正仿宋_GBK"/>
          <w:sz w:val="32"/>
          <w:szCs w:val="22"/>
        </w:rPr>
        <w:t>附件1</w:t>
      </w:r>
    </w:p>
    <w:p>
      <w:pPr>
        <w:spacing w:line="660" w:lineRule="exact"/>
        <w:jc w:val="center"/>
        <w:rPr>
          <w:rFonts w:ascii="方正小标宋_GBK" w:hAnsi="Times New Roman" w:eastAsia="方正小标宋_GBK"/>
          <w:kern w:val="0"/>
          <w:sz w:val="36"/>
          <w:szCs w:val="36"/>
        </w:rPr>
      </w:pPr>
      <w:r>
        <w:rPr>
          <w:rFonts w:ascii="方正小标宋_GBK" w:hAnsi="Times New Roman" w:eastAsia="方正小标宋_GBK"/>
          <w:kern w:val="0"/>
          <w:sz w:val="36"/>
          <w:szCs w:val="36"/>
        </w:rPr>
        <w:t>2021年全区</w:t>
      </w:r>
      <w:r>
        <w:rPr>
          <w:rFonts w:hint="eastAsia" w:ascii="方正小标宋_GBK" w:hAnsi="Times New Roman" w:eastAsia="方正小标宋_GBK"/>
          <w:kern w:val="0"/>
          <w:sz w:val="36"/>
          <w:szCs w:val="36"/>
        </w:rPr>
        <w:t>建设工程质量检测机构主体结构工程现场</w:t>
      </w:r>
    </w:p>
    <w:p>
      <w:pPr>
        <w:spacing w:line="660" w:lineRule="exact"/>
        <w:jc w:val="center"/>
        <w:rPr>
          <w:rFonts w:ascii="方正小标宋_GBK" w:hAnsi="Times New Roman" w:eastAsia="方正小标宋_GBK"/>
          <w:kern w:val="0"/>
          <w:sz w:val="36"/>
          <w:szCs w:val="36"/>
        </w:rPr>
      </w:pPr>
      <w:r>
        <w:rPr>
          <w:rFonts w:hint="eastAsia" w:ascii="方正小标宋_GBK" w:hAnsi="Times New Roman" w:eastAsia="方正小标宋_GBK"/>
          <w:kern w:val="0"/>
          <w:sz w:val="36"/>
          <w:szCs w:val="36"/>
        </w:rPr>
        <w:t>检测</w:t>
      </w:r>
      <w:r>
        <w:rPr>
          <w:rFonts w:ascii="方正小标宋_GBK" w:hAnsi="Times New Roman" w:eastAsia="方正小标宋_GBK"/>
          <w:kern w:val="0"/>
          <w:sz w:val="36"/>
          <w:szCs w:val="36"/>
        </w:rPr>
        <w:t>能力验证作业指导书</w:t>
      </w:r>
    </w:p>
    <w:p>
      <w:pPr>
        <w:spacing w:line="660" w:lineRule="exact"/>
        <w:jc w:val="center"/>
        <w:rPr>
          <w:rFonts w:ascii="方正小标宋_GBK" w:hAnsi="Times New Roman" w:eastAsia="方正小标宋_GBK"/>
          <w:kern w:val="0"/>
          <w:sz w:val="36"/>
          <w:szCs w:val="36"/>
        </w:rPr>
      </w:pPr>
    </w:p>
    <w:p>
      <w:pPr>
        <w:spacing w:line="590" w:lineRule="exact"/>
        <w:ind w:firstLine="640" w:firstLineChars="200"/>
        <w:rPr>
          <w:rFonts w:ascii="方正黑体_GBK" w:hAnsi="Times New Roman" w:eastAsia="方正黑体_GBK"/>
          <w:sz w:val="32"/>
          <w:szCs w:val="22"/>
        </w:rPr>
      </w:pPr>
      <w:r>
        <w:rPr>
          <w:rFonts w:hint="eastAsia" w:ascii="方正黑体_GBK" w:hAnsi="Times New Roman" w:eastAsia="方正黑体_GBK"/>
          <w:sz w:val="32"/>
          <w:szCs w:val="22"/>
        </w:rPr>
        <w:t>一、能力验证项目</w:t>
      </w:r>
    </w:p>
    <w:p>
      <w:pPr>
        <w:tabs>
          <w:tab w:val="left" w:pos="0"/>
          <w:tab w:val="left" w:pos="1470"/>
        </w:tabs>
        <w:spacing w:line="590" w:lineRule="exact"/>
        <w:ind w:firstLine="640" w:firstLineChars="200"/>
        <w:contextualSpacing/>
        <w:rPr>
          <w:rFonts w:ascii="Times New Roman" w:hAnsi="Times New Roman" w:eastAsia="方正仿宋_GBK"/>
          <w:sz w:val="32"/>
          <w:szCs w:val="22"/>
        </w:rPr>
      </w:pPr>
      <w:r>
        <w:rPr>
          <w:rFonts w:hint="eastAsia" w:eastAsia="方正仿宋_GBK"/>
          <w:sz w:val="32"/>
          <w:szCs w:val="32"/>
        </w:rPr>
        <w:t>回弹法检测混凝土抗压强度</w:t>
      </w:r>
    </w:p>
    <w:p>
      <w:pPr>
        <w:spacing w:line="590" w:lineRule="exact"/>
        <w:ind w:firstLine="640" w:firstLineChars="200"/>
        <w:rPr>
          <w:rFonts w:ascii="方正黑体_GBK" w:hAnsi="Times New Roman" w:eastAsia="方正黑体_GBK"/>
          <w:sz w:val="32"/>
          <w:szCs w:val="22"/>
        </w:rPr>
      </w:pPr>
      <w:r>
        <w:rPr>
          <w:rFonts w:hint="eastAsia" w:ascii="方正黑体_GBK" w:hAnsi="Times New Roman" w:eastAsia="方正黑体_GBK"/>
          <w:sz w:val="32"/>
          <w:szCs w:val="22"/>
        </w:rPr>
        <w:t>二、检测依据</w:t>
      </w:r>
    </w:p>
    <w:p>
      <w:pPr>
        <w:spacing w:line="590" w:lineRule="exact"/>
        <w:ind w:firstLine="640" w:firstLineChars="200"/>
        <w:rPr>
          <w:rFonts w:ascii="Times New Roman" w:hAnsi="Times New Roman" w:eastAsia="方正仿宋_GBK"/>
          <w:sz w:val="32"/>
          <w:szCs w:val="22"/>
        </w:rPr>
      </w:pPr>
      <w:r>
        <w:rPr>
          <w:rFonts w:ascii="Times New Roman" w:hAnsi="Times New Roman" w:eastAsia="方正仿宋_GBK"/>
          <w:sz w:val="32"/>
          <w:szCs w:val="22"/>
        </w:rPr>
        <w:t>《</w:t>
      </w:r>
      <w:r>
        <w:rPr>
          <w:rFonts w:hint="eastAsia" w:ascii="Times New Roman" w:hAnsi="Times New Roman" w:eastAsia="方正仿宋_GBK"/>
          <w:sz w:val="32"/>
          <w:szCs w:val="22"/>
        </w:rPr>
        <w:t>回弹法检测混凝土抗压强度技术规程</w:t>
      </w:r>
      <w:r>
        <w:rPr>
          <w:rFonts w:ascii="Times New Roman" w:hAnsi="Times New Roman" w:eastAsia="方正仿宋_GBK"/>
          <w:sz w:val="32"/>
          <w:szCs w:val="22"/>
        </w:rPr>
        <w:t>》</w:t>
      </w:r>
      <w:r>
        <w:rPr>
          <w:rFonts w:hint="eastAsia" w:ascii="Times New Roman" w:hAnsi="Times New Roman" w:eastAsia="方正仿宋_GBK"/>
          <w:sz w:val="32"/>
          <w:szCs w:val="22"/>
        </w:rPr>
        <w:t>JGJ/T 23-2011</w:t>
      </w:r>
    </w:p>
    <w:p>
      <w:pPr>
        <w:spacing w:line="590" w:lineRule="exact"/>
        <w:ind w:firstLine="640" w:firstLineChars="200"/>
        <w:rPr>
          <w:rFonts w:ascii="方正黑体_GBK" w:hAnsi="Times New Roman" w:eastAsia="方正黑体_GBK"/>
          <w:sz w:val="32"/>
          <w:szCs w:val="22"/>
        </w:rPr>
      </w:pPr>
      <w:r>
        <w:rPr>
          <w:rFonts w:hint="eastAsia" w:ascii="方正黑体_GBK" w:hAnsi="Times New Roman" w:eastAsia="方正黑体_GBK"/>
          <w:sz w:val="32"/>
          <w:szCs w:val="22"/>
        </w:rPr>
        <w:t>三、检测过程</w:t>
      </w:r>
    </w:p>
    <w:p>
      <w:pPr>
        <w:spacing w:line="590" w:lineRule="exact"/>
        <w:ind w:firstLine="640" w:firstLineChars="200"/>
        <w:rPr>
          <w:rFonts w:ascii="Times New Roman" w:hAnsi="Times New Roman" w:eastAsia="方正仿宋_GBK"/>
          <w:sz w:val="32"/>
          <w:szCs w:val="22"/>
        </w:rPr>
      </w:pPr>
      <w:r>
        <w:rPr>
          <w:rFonts w:hint="eastAsia" w:ascii="Times New Roman" w:hAnsi="Times New Roman" w:eastAsia="方正仿宋_GBK"/>
          <w:sz w:val="32"/>
          <w:szCs w:val="22"/>
        </w:rPr>
        <w:t>（一）本次能力验证所用样品为1</w:t>
      </w:r>
      <w:r>
        <w:rPr>
          <w:rFonts w:ascii="Times New Roman" w:hAnsi="Times New Roman" w:eastAsia="方正仿宋_GBK"/>
          <w:sz w:val="32"/>
          <w:szCs w:val="22"/>
        </w:rPr>
        <w:t>0</w:t>
      </w:r>
      <w:r>
        <w:rPr>
          <w:rFonts w:hint="eastAsia" w:ascii="Times New Roman" w:hAnsi="Times New Roman" w:eastAsia="方正仿宋_GBK"/>
          <w:sz w:val="32"/>
          <w:szCs w:val="22"/>
        </w:rPr>
        <w:t>块非泵送混凝土构件，有（</w:t>
      </w:r>
      <w:r>
        <w:rPr>
          <w:rFonts w:ascii="Times New Roman" w:hAnsi="Times New Roman" w:eastAsia="方正仿宋_GBK"/>
          <w:sz w:val="32"/>
          <w:szCs w:val="22"/>
        </w:rPr>
        <w:t>2300</w:t>
      </w:r>
      <w:r>
        <w:rPr>
          <w:rFonts w:hint="eastAsia" w:ascii="Times New Roman" w:hAnsi="Times New Roman" w:eastAsia="方正仿宋_GBK"/>
          <w:sz w:val="32"/>
          <w:szCs w:val="22"/>
        </w:rPr>
        <w:t>×2</w:t>
      </w:r>
      <w:r>
        <w:rPr>
          <w:rFonts w:ascii="Times New Roman" w:hAnsi="Times New Roman" w:eastAsia="方正仿宋_GBK"/>
          <w:sz w:val="32"/>
          <w:szCs w:val="22"/>
        </w:rPr>
        <w:t>350</w:t>
      </w:r>
      <w:r>
        <w:rPr>
          <w:rFonts w:hint="eastAsia" w:ascii="Times New Roman" w:hAnsi="Times New Roman" w:eastAsia="方正仿宋_GBK"/>
          <w:sz w:val="32"/>
          <w:szCs w:val="22"/>
        </w:rPr>
        <w:t>×</w:t>
      </w:r>
      <w:r>
        <w:rPr>
          <w:rFonts w:ascii="Times New Roman" w:hAnsi="Times New Roman" w:eastAsia="方正仿宋_GBK"/>
          <w:sz w:val="32"/>
          <w:szCs w:val="22"/>
        </w:rPr>
        <w:t>200</w:t>
      </w:r>
      <w:r>
        <w:rPr>
          <w:rFonts w:hint="eastAsia" w:ascii="Times New Roman" w:hAnsi="Times New Roman" w:eastAsia="方正仿宋_GBK"/>
          <w:sz w:val="32"/>
          <w:szCs w:val="22"/>
        </w:rPr>
        <w:t>）mm和（</w:t>
      </w:r>
      <w:r>
        <w:rPr>
          <w:rFonts w:ascii="Times New Roman" w:hAnsi="Times New Roman" w:eastAsia="方正仿宋_GBK"/>
          <w:sz w:val="32"/>
          <w:szCs w:val="22"/>
        </w:rPr>
        <w:t>2700</w:t>
      </w:r>
      <w:r>
        <w:rPr>
          <w:rFonts w:hint="eastAsia" w:ascii="Times New Roman" w:hAnsi="Times New Roman" w:eastAsia="方正仿宋_GBK"/>
          <w:sz w:val="32"/>
          <w:szCs w:val="22"/>
        </w:rPr>
        <w:t>×2</w:t>
      </w:r>
      <w:r>
        <w:rPr>
          <w:rFonts w:ascii="Times New Roman" w:hAnsi="Times New Roman" w:eastAsia="方正仿宋_GBK"/>
          <w:sz w:val="32"/>
          <w:szCs w:val="22"/>
        </w:rPr>
        <w:t>100</w:t>
      </w:r>
      <w:r>
        <w:rPr>
          <w:rFonts w:hint="eastAsia" w:ascii="Times New Roman" w:hAnsi="Times New Roman" w:eastAsia="方正仿宋_GBK"/>
          <w:sz w:val="32"/>
          <w:szCs w:val="22"/>
        </w:rPr>
        <w:t>×</w:t>
      </w:r>
      <w:r>
        <w:rPr>
          <w:rFonts w:ascii="Times New Roman" w:hAnsi="Times New Roman" w:eastAsia="方正仿宋_GBK"/>
          <w:sz w:val="32"/>
          <w:szCs w:val="22"/>
        </w:rPr>
        <w:t>200</w:t>
      </w:r>
      <w:r>
        <w:rPr>
          <w:rFonts w:hint="eastAsia" w:ascii="Times New Roman" w:hAnsi="Times New Roman" w:eastAsia="方正仿宋_GBK"/>
          <w:sz w:val="32"/>
          <w:szCs w:val="22"/>
        </w:rPr>
        <w:t>）mm两种构件尺寸，构件两个面分别标注A面和B面；</w:t>
      </w:r>
    </w:p>
    <w:p>
      <w:pPr>
        <w:spacing w:line="590" w:lineRule="exact"/>
        <w:ind w:firstLine="640" w:firstLineChars="200"/>
        <w:rPr>
          <w:rFonts w:ascii="Times New Roman" w:hAnsi="Times New Roman" w:eastAsia="方正仿宋_GBK"/>
          <w:sz w:val="32"/>
          <w:szCs w:val="22"/>
        </w:rPr>
      </w:pPr>
      <w:r>
        <w:rPr>
          <w:rFonts w:hint="eastAsia" w:ascii="Times New Roman" w:hAnsi="Times New Roman" w:eastAsia="方正仿宋_GBK"/>
          <w:sz w:val="32"/>
          <w:szCs w:val="22"/>
        </w:rPr>
        <w:t>（二）检测人员携带身份证、培训合格电子证明和仪器设备检定/校准证书原件报到，并现场提交复印件，经工作人员核对无误后发放能力验证检测工作牌，然后进行现场抽签，确认检测区编号；</w:t>
      </w:r>
    </w:p>
    <w:p>
      <w:pPr>
        <w:spacing w:line="590" w:lineRule="exact"/>
        <w:ind w:firstLine="640" w:firstLineChars="200"/>
        <w:rPr>
          <w:rFonts w:ascii="Times New Roman" w:hAnsi="Times New Roman" w:eastAsia="方正仿宋_GBK"/>
          <w:sz w:val="32"/>
          <w:szCs w:val="22"/>
        </w:rPr>
      </w:pPr>
      <w:r>
        <w:rPr>
          <w:rFonts w:hint="eastAsia" w:ascii="Times New Roman" w:hAnsi="Times New Roman" w:eastAsia="方正仿宋_GBK"/>
          <w:sz w:val="32"/>
          <w:szCs w:val="22"/>
        </w:rPr>
        <w:t>（三）检测人员在</w:t>
      </w:r>
      <w:r>
        <w:rPr>
          <w:rFonts w:hint="eastAsia" w:eastAsia="方正仿宋_GBK"/>
          <w:sz w:val="32"/>
        </w:rPr>
        <w:t>引导员</w:t>
      </w:r>
      <w:r>
        <w:rPr>
          <w:rFonts w:hint="eastAsia" w:ascii="Times New Roman" w:hAnsi="Times New Roman" w:eastAsia="方正仿宋_GBK"/>
          <w:sz w:val="32"/>
          <w:szCs w:val="22"/>
        </w:rPr>
        <w:t>指引下进入测试区，找到相应构件并在规定时间内完成检测，</w:t>
      </w:r>
      <w:r>
        <w:rPr>
          <w:rFonts w:hint="eastAsia" w:eastAsia="方正仿宋_GBK"/>
          <w:sz w:val="32"/>
        </w:rPr>
        <w:t>引导员</w:t>
      </w:r>
      <w:r>
        <w:rPr>
          <w:rFonts w:hint="eastAsia" w:ascii="Times New Roman" w:hAnsi="Times New Roman" w:eastAsia="方正仿宋_GBK"/>
          <w:sz w:val="32"/>
          <w:szCs w:val="22"/>
        </w:rPr>
        <w:t>记录检测起始时间和结束时间；</w:t>
      </w:r>
    </w:p>
    <w:p>
      <w:pPr>
        <w:spacing w:line="590" w:lineRule="exact"/>
        <w:ind w:firstLine="640" w:firstLineChars="200"/>
        <w:rPr>
          <w:rFonts w:ascii="Times New Roman" w:hAnsi="Times New Roman" w:eastAsia="方正仿宋_GBK"/>
          <w:sz w:val="32"/>
          <w:szCs w:val="22"/>
        </w:rPr>
      </w:pPr>
      <w:r>
        <w:rPr>
          <w:rFonts w:hint="eastAsia" w:ascii="Times New Roman" w:hAnsi="Times New Roman" w:eastAsia="方正仿宋_GBK"/>
          <w:sz w:val="32"/>
          <w:szCs w:val="22"/>
        </w:rPr>
        <w:t>（四）检测人员按照《回弹法检测混凝土抗压强度技术规程》（JGJ/T 23-2011）的要求进行检测，填写《回弹法检测构件混凝土强度原始记录表》（详见附表1）；</w:t>
      </w:r>
    </w:p>
    <w:p>
      <w:pPr>
        <w:spacing w:line="590" w:lineRule="exact"/>
        <w:ind w:firstLine="640" w:firstLineChars="200"/>
        <w:rPr>
          <w:rFonts w:ascii="Times New Roman" w:hAnsi="Times New Roman" w:eastAsia="方正仿宋_GBK"/>
          <w:sz w:val="32"/>
          <w:szCs w:val="22"/>
        </w:rPr>
      </w:pPr>
      <w:r>
        <w:rPr>
          <w:rFonts w:hint="eastAsia" w:ascii="Times New Roman" w:hAnsi="Times New Roman" w:eastAsia="方正仿宋_GBK"/>
          <w:sz w:val="32"/>
          <w:szCs w:val="22"/>
        </w:rPr>
        <w:t>（五）本次能力验证不需检测混凝土碳化深度值，要求统一采用碳化深度值1</w:t>
      </w:r>
      <w:r>
        <w:rPr>
          <w:rFonts w:ascii="Times New Roman" w:hAnsi="Times New Roman" w:eastAsia="方正仿宋_GBK"/>
          <w:sz w:val="32"/>
          <w:szCs w:val="22"/>
        </w:rPr>
        <w:t>.5</w:t>
      </w:r>
      <w:r>
        <w:rPr>
          <w:rFonts w:hint="eastAsia" w:ascii="Times New Roman" w:hAnsi="Times New Roman" w:eastAsia="方正仿宋_GBK"/>
          <w:sz w:val="32"/>
          <w:szCs w:val="22"/>
        </w:rPr>
        <w:t>mm进行回弹值换算；</w:t>
      </w:r>
    </w:p>
    <w:p>
      <w:pPr>
        <w:spacing w:line="590" w:lineRule="exact"/>
        <w:ind w:firstLine="640" w:firstLineChars="200"/>
        <w:rPr>
          <w:rFonts w:ascii="Times New Roman" w:hAnsi="Times New Roman" w:eastAsia="方正仿宋_GBK"/>
          <w:sz w:val="32"/>
          <w:szCs w:val="22"/>
        </w:rPr>
      </w:pPr>
      <w:r>
        <w:rPr>
          <w:rFonts w:hint="eastAsia" w:ascii="Times New Roman" w:hAnsi="Times New Roman" w:eastAsia="方正仿宋_GBK"/>
          <w:sz w:val="32"/>
          <w:szCs w:val="22"/>
        </w:rPr>
        <w:t>（六）现场测试结束后，检测人员在</w:t>
      </w:r>
      <w:r>
        <w:rPr>
          <w:rFonts w:hint="eastAsia" w:eastAsia="方正仿宋_GBK"/>
          <w:sz w:val="32"/>
        </w:rPr>
        <w:t>引导员</w:t>
      </w:r>
      <w:r>
        <w:rPr>
          <w:rFonts w:hint="eastAsia" w:ascii="Times New Roman" w:hAnsi="Times New Roman" w:eastAsia="方正仿宋_GBK"/>
          <w:sz w:val="32"/>
          <w:szCs w:val="22"/>
        </w:rPr>
        <w:t>指引下进入计算区，要求按照《回弹法检测混凝土抗压强度技术规程》（JGJ/T 23-2011），采用全国统一测强曲线计算构件的混凝土抗压强度推定值，结果精确至0.1MPa，并完成《回弹法检测构件混凝土强度计算表》（详见附表2）和《回弹法检测构件混凝土强度能力验证结果报告单》（详见附表3）；</w:t>
      </w:r>
    </w:p>
    <w:p>
      <w:pPr>
        <w:spacing w:line="590" w:lineRule="exact"/>
        <w:ind w:firstLine="640" w:firstLineChars="200"/>
        <w:rPr>
          <w:rFonts w:ascii="Times New Roman" w:hAnsi="Times New Roman" w:eastAsia="方正仿宋_GBK"/>
          <w:sz w:val="32"/>
          <w:szCs w:val="22"/>
        </w:rPr>
      </w:pPr>
      <w:r>
        <w:rPr>
          <w:rFonts w:hint="eastAsia" w:ascii="Times New Roman" w:hAnsi="Times New Roman" w:eastAsia="方正仿宋_GBK"/>
          <w:sz w:val="32"/>
          <w:szCs w:val="22"/>
        </w:rPr>
        <w:t>（七）计算结束后，各单位检测人员及授权签字人在相应检测原始记录和报告单上签字后统一交给监督员，监督员记录计算起始时间和结束时间；</w:t>
      </w:r>
    </w:p>
    <w:p>
      <w:pPr>
        <w:spacing w:line="590" w:lineRule="exact"/>
        <w:ind w:firstLine="640" w:firstLineChars="200"/>
        <w:rPr>
          <w:rFonts w:ascii="Times New Roman" w:hAnsi="Times New Roman" w:eastAsia="方正仿宋_GBK"/>
          <w:sz w:val="32"/>
          <w:szCs w:val="22"/>
        </w:rPr>
      </w:pPr>
      <w:r>
        <w:rPr>
          <w:rFonts w:hint="eastAsia" w:ascii="Times New Roman" w:hAnsi="Times New Roman" w:eastAsia="方正仿宋_GBK"/>
          <w:sz w:val="32"/>
          <w:szCs w:val="22"/>
        </w:rPr>
        <w:t>（八）检测起始时间至计算结束时间总共不得超过4</w:t>
      </w:r>
      <w:r>
        <w:rPr>
          <w:rFonts w:ascii="Times New Roman" w:hAnsi="Times New Roman" w:eastAsia="方正仿宋_GBK"/>
          <w:sz w:val="32"/>
          <w:szCs w:val="22"/>
        </w:rPr>
        <w:t>0</w:t>
      </w:r>
      <w:r>
        <w:rPr>
          <w:rFonts w:hint="eastAsia" w:ascii="Times New Roman" w:hAnsi="Times New Roman" w:eastAsia="方正仿宋_GBK"/>
          <w:sz w:val="32"/>
          <w:szCs w:val="22"/>
        </w:rPr>
        <w:t>分钟，其中在测试区的时间不得超过3</w:t>
      </w:r>
      <w:r>
        <w:rPr>
          <w:rFonts w:ascii="Times New Roman" w:hAnsi="Times New Roman" w:eastAsia="方正仿宋_GBK"/>
          <w:sz w:val="32"/>
          <w:szCs w:val="22"/>
        </w:rPr>
        <w:t>0</w:t>
      </w:r>
      <w:r>
        <w:rPr>
          <w:rFonts w:hint="eastAsia" w:ascii="Times New Roman" w:hAnsi="Times New Roman" w:eastAsia="方正仿宋_GBK"/>
          <w:sz w:val="32"/>
          <w:szCs w:val="22"/>
        </w:rPr>
        <w:t>分钟。</w:t>
      </w:r>
    </w:p>
    <w:p>
      <w:pPr>
        <w:spacing w:line="590" w:lineRule="exact"/>
        <w:ind w:firstLine="640" w:firstLineChars="200"/>
        <w:rPr>
          <w:rFonts w:ascii="方正黑体_GBK" w:hAnsi="Times New Roman" w:eastAsia="方正黑体_GBK"/>
          <w:sz w:val="32"/>
          <w:szCs w:val="22"/>
        </w:rPr>
      </w:pPr>
      <w:r>
        <w:rPr>
          <w:rFonts w:hint="eastAsia" w:ascii="方正黑体_GBK" w:hAnsi="Times New Roman" w:eastAsia="方正黑体_GBK"/>
          <w:sz w:val="32"/>
          <w:szCs w:val="22"/>
        </w:rPr>
        <w:t>五、其他要求</w:t>
      </w:r>
    </w:p>
    <w:p>
      <w:pPr>
        <w:spacing w:line="590" w:lineRule="exact"/>
        <w:ind w:firstLine="640" w:firstLineChars="200"/>
        <w:rPr>
          <w:rFonts w:ascii="Times New Roman" w:hAnsi="Times New Roman" w:eastAsia="方正仿宋_GBK"/>
          <w:sz w:val="32"/>
          <w:szCs w:val="22"/>
        </w:rPr>
      </w:pPr>
      <w:r>
        <w:rPr>
          <w:rFonts w:hint="eastAsia" w:ascii="Times New Roman" w:hAnsi="Times New Roman" w:eastAsia="方正仿宋_GBK"/>
          <w:sz w:val="32"/>
          <w:szCs w:val="22"/>
        </w:rPr>
        <w:t>（一）各单位可参考驾车路线图（详见附图1），宜提前3</w:t>
      </w:r>
      <w:r>
        <w:rPr>
          <w:rFonts w:ascii="Times New Roman" w:hAnsi="Times New Roman" w:eastAsia="方正仿宋_GBK"/>
          <w:sz w:val="32"/>
          <w:szCs w:val="22"/>
        </w:rPr>
        <w:t>0</w:t>
      </w:r>
      <w:r>
        <w:rPr>
          <w:rFonts w:hint="eastAsia" w:ascii="Times New Roman" w:hAnsi="Times New Roman" w:eastAsia="方正仿宋_GBK"/>
          <w:sz w:val="32"/>
          <w:szCs w:val="22"/>
        </w:rPr>
        <w:t>分钟到达能力验证现场做准备工作，与能力验证工作无关的人员一律不得进入现场；</w:t>
      </w:r>
    </w:p>
    <w:p>
      <w:pPr>
        <w:spacing w:line="590" w:lineRule="exact"/>
        <w:ind w:firstLine="640" w:firstLineChars="200"/>
        <w:rPr>
          <w:rFonts w:ascii="Times New Roman" w:hAnsi="Times New Roman" w:eastAsia="方正仿宋_GBK"/>
          <w:sz w:val="32"/>
          <w:szCs w:val="22"/>
        </w:rPr>
      </w:pPr>
      <w:r>
        <w:rPr>
          <w:rFonts w:hint="eastAsia" w:ascii="Times New Roman" w:hAnsi="Times New Roman" w:eastAsia="方正仿宋_GBK"/>
          <w:sz w:val="32"/>
          <w:szCs w:val="22"/>
        </w:rPr>
        <w:t>（二）各单位应自带安全帽，检测人员入场时需统一正确佩戴安全帽；</w:t>
      </w:r>
    </w:p>
    <w:p>
      <w:pPr>
        <w:spacing w:line="590" w:lineRule="exact"/>
        <w:ind w:firstLine="640" w:firstLineChars="200"/>
        <w:rPr>
          <w:rFonts w:ascii="Times New Roman" w:hAnsi="Times New Roman" w:eastAsia="方正仿宋_GBK"/>
          <w:sz w:val="32"/>
          <w:szCs w:val="22"/>
        </w:rPr>
      </w:pPr>
      <w:r>
        <w:rPr>
          <w:rFonts w:hint="eastAsia" w:ascii="Times New Roman" w:hAnsi="Times New Roman" w:eastAsia="方正仿宋_GBK"/>
          <w:sz w:val="32"/>
          <w:szCs w:val="22"/>
        </w:rPr>
        <w:t>（三）各单位需自带回弹仪（能力验证前应自行完成仪器设备校准）、签字笔、铅笔、橡皮、计算器、排插及笔记本电脑等；</w:t>
      </w:r>
    </w:p>
    <w:p>
      <w:pPr>
        <w:spacing w:line="590" w:lineRule="exact"/>
        <w:ind w:firstLine="640" w:firstLineChars="200"/>
        <w:rPr>
          <w:rFonts w:ascii="Times New Roman" w:hAnsi="Times New Roman" w:eastAsia="方正仿宋_GBK"/>
          <w:sz w:val="32"/>
          <w:szCs w:val="22"/>
        </w:rPr>
      </w:pPr>
      <w:r>
        <w:rPr>
          <w:rFonts w:hint="eastAsia" w:ascii="Times New Roman" w:hAnsi="Times New Roman" w:eastAsia="方正仿宋_GBK"/>
          <w:sz w:val="32"/>
          <w:szCs w:val="22"/>
        </w:rPr>
        <w:t>（四）现场备有钢砧，各单位也可自带钢砧；</w:t>
      </w:r>
    </w:p>
    <w:p>
      <w:pPr>
        <w:spacing w:line="590" w:lineRule="exact"/>
        <w:ind w:firstLine="640" w:firstLineChars="200"/>
        <w:rPr>
          <w:rFonts w:ascii="Times New Roman" w:hAnsi="Times New Roman" w:eastAsia="方正仿宋_GBK"/>
          <w:sz w:val="32"/>
          <w:szCs w:val="22"/>
        </w:rPr>
      </w:pPr>
      <w:r>
        <w:rPr>
          <w:rFonts w:hint="eastAsia" w:ascii="Times New Roman" w:hAnsi="Times New Roman" w:eastAsia="方正仿宋_GBK"/>
          <w:sz w:val="32"/>
          <w:szCs w:val="22"/>
        </w:rPr>
        <w:t>（五）因本次所用混凝土构件为构件厂已售产品，检测人员在回弹过程中仅允许使用粉笔在构件上记录测区记号，不得损坏构件；</w:t>
      </w:r>
    </w:p>
    <w:p>
      <w:pPr>
        <w:spacing w:line="590" w:lineRule="exact"/>
        <w:ind w:firstLine="640" w:firstLineChars="200"/>
        <w:rPr>
          <w:rFonts w:ascii="Times New Roman" w:hAnsi="Times New Roman" w:eastAsia="方正仿宋_GBK"/>
          <w:sz w:val="32"/>
          <w:szCs w:val="22"/>
        </w:rPr>
      </w:pPr>
      <w:r>
        <w:rPr>
          <w:rFonts w:hint="eastAsia" w:ascii="Times New Roman" w:hAnsi="Times New Roman" w:eastAsia="方正仿宋_GBK"/>
          <w:sz w:val="32"/>
          <w:szCs w:val="22"/>
        </w:rPr>
        <w:t>（六）各单位应严格遵守现场工作人员指挥，遵守现场纪律，禁止大声喧哗，严禁触碰厂区内非能力验证所需的机械设备和预制构件，提交结果资料后应尽快离场，不得逗留。</w:t>
      </w:r>
    </w:p>
    <w:p>
      <w:pPr>
        <w:spacing w:line="590" w:lineRule="exact"/>
        <w:ind w:firstLine="640" w:firstLineChars="200"/>
        <w:rPr>
          <w:rFonts w:ascii="方正黑体_GBK" w:hAnsi="Times New Roman" w:eastAsia="方正黑体_GBK"/>
          <w:sz w:val="32"/>
          <w:szCs w:val="22"/>
        </w:rPr>
      </w:pPr>
      <w:r>
        <w:rPr>
          <w:rFonts w:hint="eastAsia" w:ascii="方正黑体_GBK" w:hAnsi="Times New Roman" w:eastAsia="方正黑体_GBK"/>
          <w:sz w:val="32"/>
          <w:szCs w:val="22"/>
        </w:rPr>
        <w:t>六、评判标准</w:t>
      </w:r>
    </w:p>
    <w:p>
      <w:pPr>
        <w:spacing w:line="590" w:lineRule="exact"/>
        <w:ind w:firstLine="640" w:firstLineChars="200"/>
        <w:rPr>
          <w:rFonts w:ascii="Times New Roman" w:hAnsi="Times New Roman" w:eastAsia="方正仿宋_GBK"/>
          <w:sz w:val="32"/>
          <w:szCs w:val="22"/>
        </w:rPr>
      </w:pPr>
      <w:r>
        <w:rPr>
          <w:rFonts w:hint="eastAsia" w:ascii="Times New Roman" w:hAnsi="Times New Roman" w:eastAsia="方正仿宋_GBK"/>
          <w:sz w:val="32"/>
          <w:szCs w:val="22"/>
        </w:rPr>
        <w:t>由我站组织专家成立评审组，对能力验证结果进行评定，评定结果分为“满意”、“基本满意”和“不满意”3种情况。</w:t>
      </w:r>
    </w:p>
    <w:p>
      <w:pPr>
        <w:spacing w:line="590" w:lineRule="exact"/>
        <w:ind w:firstLine="640" w:firstLineChars="200"/>
        <w:rPr>
          <w:rFonts w:ascii="Times New Roman" w:hAnsi="Times New Roman" w:eastAsia="方正仿宋_GBK"/>
          <w:sz w:val="32"/>
          <w:szCs w:val="22"/>
        </w:rPr>
      </w:pPr>
      <w:r>
        <w:rPr>
          <w:rFonts w:hint="eastAsia" w:ascii="Times New Roman" w:hAnsi="Times New Roman" w:eastAsia="方正仿宋_GBK"/>
          <w:sz w:val="32"/>
          <w:szCs w:val="22"/>
        </w:rPr>
        <w:t>根据CNAS-GL002:2018《能力验证结果的统计处理和能力评价指南》采用中位值和标准化四分位距稳健统计方法对各单位能力验证结果（仅对混凝土强度推定值）进行统计。</w:t>
      </w:r>
    </w:p>
    <w:p>
      <w:pPr>
        <w:spacing w:line="590" w:lineRule="exact"/>
        <w:ind w:firstLine="640" w:firstLineChars="200"/>
        <w:rPr>
          <w:rFonts w:ascii="Times New Roman" w:hAnsi="Times New Roman" w:eastAsia="方正仿宋_GBK"/>
          <w:sz w:val="32"/>
          <w:szCs w:val="22"/>
        </w:rPr>
      </w:pPr>
      <w:r>
        <w:rPr>
          <w:rFonts w:hint="eastAsia" w:ascii="Times New Roman" w:hAnsi="Times New Roman" w:eastAsia="方正仿宋_GBK"/>
          <w:sz w:val="32"/>
          <w:szCs w:val="22"/>
        </w:rPr>
        <w:t>利用Z比分数进行能力验证评价，评价结果分为3种情况：</w:t>
      </w:r>
    </w:p>
    <w:p>
      <w:pPr>
        <w:spacing w:line="590" w:lineRule="exact"/>
        <w:ind w:firstLine="640" w:firstLineChars="200"/>
        <w:rPr>
          <w:rFonts w:ascii="Times New Roman" w:hAnsi="Times New Roman" w:eastAsia="方正仿宋_GBK"/>
          <w:sz w:val="32"/>
          <w:szCs w:val="22"/>
        </w:rPr>
      </w:pPr>
      <w:r>
        <w:rPr>
          <w:rFonts w:hint="eastAsia" w:ascii="Times New Roman" w:hAnsi="Times New Roman" w:eastAsia="方正仿宋_GBK"/>
          <w:sz w:val="32"/>
          <w:szCs w:val="22"/>
        </w:rPr>
        <w:t>①︱Z︱≤2.0为“满意”；</w:t>
      </w:r>
    </w:p>
    <w:p>
      <w:pPr>
        <w:spacing w:line="590" w:lineRule="exact"/>
        <w:ind w:firstLine="640" w:firstLineChars="200"/>
        <w:rPr>
          <w:rFonts w:ascii="Times New Roman" w:hAnsi="Times New Roman" w:eastAsia="方正仿宋_GBK"/>
          <w:sz w:val="32"/>
          <w:szCs w:val="22"/>
        </w:rPr>
      </w:pPr>
      <w:r>
        <w:rPr>
          <w:rFonts w:hint="eastAsia" w:ascii="Times New Roman" w:hAnsi="Times New Roman" w:eastAsia="方正仿宋_GBK"/>
          <w:sz w:val="32"/>
          <w:szCs w:val="22"/>
        </w:rPr>
        <w:t>② 2.0＜︱Z︱＜3.0为“基本满意”；</w:t>
      </w:r>
    </w:p>
    <w:p>
      <w:pPr>
        <w:spacing w:line="590" w:lineRule="exact"/>
        <w:ind w:firstLine="640" w:firstLineChars="200"/>
        <w:rPr>
          <w:rFonts w:ascii="Times New Roman" w:hAnsi="Times New Roman" w:eastAsia="方正仿宋_GBK"/>
          <w:sz w:val="32"/>
          <w:szCs w:val="22"/>
        </w:rPr>
      </w:pPr>
      <w:r>
        <w:rPr>
          <w:rFonts w:hint="eastAsia" w:ascii="Times New Roman" w:hAnsi="Times New Roman" w:eastAsia="方正仿宋_GBK"/>
          <w:sz w:val="32"/>
          <w:szCs w:val="22"/>
        </w:rPr>
        <w:t>③︱Z︱≥3.0为“不满意”。</w:t>
      </w:r>
    </w:p>
    <w:p>
      <w:pPr>
        <w:rPr>
          <w:sz w:val="28"/>
          <w:szCs w:val="21"/>
        </w:rPr>
      </w:pPr>
      <w:r>
        <w:rPr>
          <w:sz w:val="28"/>
          <w:szCs w:val="21"/>
        </w:rPr>
        <w:br w:type="page"/>
      </w:r>
    </w:p>
    <w:p>
      <w:pPr>
        <w:rPr>
          <w:rFonts w:ascii="Times New Roman" w:hAnsi="Times New Roman" w:eastAsia="方正仿宋_GBK"/>
          <w:sz w:val="32"/>
          <w:szCs w:val="22"/>
        </w:rPr>
      </w:pPr>
      <w:r>
        <w:rPr>
          <w:rFonts w:hint="eastAsia" w:ascii="Times New Roman" w:hAnsi="Times New Roman" w:eastAsia="方正仿宋_GBK"/>
          <w:sz w:val="32"/>
          <w:szCs w:val="22"/>
        </w:rPr>
        <w:t>附图1</w:t>
      </w:r>
    </w:p>
    <w:p>
      <w:pPr>
        <w:jc w:val="center"/>
        <w:rPr>
          <w:b/>
          <w:bCs/>
          <w:sz w:val="36"/>
          <w:szCs w:val="36"/>
        </w:rPr>
      </w:pPr>
      <w:r>
        <w:rPr>
          <w:rFonts w:hint="eastAsia"/>
          <w:b/>
          <w:bCs/>
          <w:sz w:val="36"/>
          <w:szCs w:val="36"/>
        </w:rPr>
        <w:t>驾车路线图</w:t>
      </w:r>
    </w:p>
    <w:p>
      <w:pPr>
        <w:widowControl/>
        <w:jc w:val="center"/>
        <w:rPr>
          <w:rFonts w:ascii="宋体" w:hAnsi="宋体" w:cs="宋体"/>
          <w:kern w:val="0"/>
          <w:sz w:val="24"/>
        </w:rPr>
      </w:pPr>
      <w:r>
        <w:rPr>
          <w:rFonts w:ascii="宋体" w:hAnsi="宋体" w:cs="宋体"/>
          <w:kern w:val="0"/>
          <w:sz w:val="24"/>
        </w:rPr>
        <w:fldChar w:fldCharType="begin"/>
      </w:r>
      <w:r>
        <w:rPr>
          <w:rFonts w:ascii="宋体" w:hAnsi="宋体" w:cs="宋体"/>
          <w:kern w:val="0"/>
          <w:sz w:val="24"/>
        </w:rPr>
        <w:instrText xml:space="preserve"> INCLUDEPICTURE "C:\\Users\\Administrator\\AppData\\Roaming\\Tencent\\Users\\14425424\\QQ\\WinTemp\\RichOle\\PUNS1PQHF0[KBWJH`6ZS5AW.png" \* MERGEFORMATINET </w:instrText>
      </w:r>
      <w:r>
        <w:rPr>
          <w:rFonts w:ascii="宋体" w:hAnsi="宋体" w:cs="宋体"/>
          <w:kern w:val="0"/>
          <w:sz w:val="24"/>
        </w:rPr>
        <w:fldChar w:fldCharType="separate"/>
      </w:r>
      <w:r>
        <w:rPr>
          <w:rFonts w:ascii="宋体" w:hAnsi="宋体" w:cs="宋体"/>
          <w:kern w:val="0"/>
          <w:sz w:val="24"/>
        </w:rPr>
        <w:fldChar w:fldCharType="begin"/>
      </w:r>
      <w:r>
        <w:rPr>
          <w:rFonts w:ascii="宋体" w:hAnsi="宋体" w:cs="宋体"/>
          <w:kern w:val="0"/>
          <w:sz w:val="24"/>
        </w:rPr>
        <w:instrText xml:space="preserve"> INCLUDEPICTURE  "C:\\Users\\Administrator\\AppData\\Roaming\\Tencent\\Users\\14425424\\QQ\\WinTemp\\RichOle\\PUNS1PQHF0[KBWJH`6ZS5AW.png" \* MERGEFORMATINET </w:instrText>
      </w:r>
      <w:r>
        <w:rPr>
          <w:rFonts w:ascii="宋体" w:hAnsi="宋体" w:cs="宋体"/>
          <w:kern w:val="0"/>
          <w:sz w:val="24"/>
        </w:rPr>
        <w:fldChar w:fldCharType="separate"/>
      </w:r>
      <w:r>
        <w:rPr>
          <w:rFonts w:ascii="宋体" w:hAnsi="宋体" w:cs="宋体"/>
          <w:kern w:val="0"/>
          <w:sz w:val="24"/>
        </w:rPr>
        <w:fldChar w:fldCharType="begin"/>
      </w:r>
      <w:r>
        <w:rPr>
          <w:rFonts w:ascii="宋体" w:hAnsi="宋体" w:cs="宋体"/>
          <w:kern w:val="0"/>
          <w:sz w:val="24"/>
        </w:rPr>
        <w:instrText xml:space="preserve"> INCLUDEPICTURE  "C:\\Users\\Administrator\\Desktop\\AppData\\Roaming\\Tencent\\Users\\14425424\\QQ\\WinTemp\\RichOle\\PUNS1PQHF0[KBWJH`6ZS5AW.png" \* MERGEFORMATINET </w:instrText>
      </w:r>
      <w:r>
        <w:rPr>
          <w:rFonts w:ascii="宋体" w:hAnsi="宋体" w:cs="宋体"/>
          <w:kern w:val="0"/>
          <w:sz w:val="24"/>
        </w:rPr>
        <w:fldChar w:fldCharType="separate"/>
      </w:r>
      <w:r>
        <w:rPr>
          <w:rFonts w:ascii="宋体" w:hAnsi="宋体" w:cs="宋体"/>
          <w:kern w:val="0"/>
          <w:sz w:val="24"/>
        </w:rPr>
        <w:fldChar w:fldCharType="begin"/>
      </w:r>
      <w:r>
        <w:rPr>
          <w:rFonts w:ascii="宋体" w:hAnsi="宋体" w:cs="宋体"/>
          <w:kern w:val="0"/>
          <w:sz w:val="24"/>
        </w:rPr>
        <w:instrText xml:space="preserve"> INCLUDEPICTURE  "D:\\E盘\\AppData\\Roaming\\Tencent\\Users\\14425424\\QQ\\WinTemp\\RichOle\\PUNS1PQHF0[KBWJH`6ZS5AW.png" \* MERGEFORMATINET </w:instrText>
      </w:r>
      <w:r>
        <w:rPr>
          <w:rFonts w:ascii="宋体" w:hAnsi="宋体" w:cs="宋体"/>
          <w:kern w:val="0"/>
          <w:sz w:val="24"/>
        </w:rPr>
        <w:fldChar w:fldCharType="separate"/>
      </w:r>
      <w:r>
        <w:rPr>
          <w:rFonts w:ascii="宋体" w:hAnsi="宋体" w:cs="宋体"/>
          <w:kern w:val="0"/>
          <w:sz w:val="24"/>
        </w:rPr>
        <w:fldChar w:fldCharType="begin"/>
      </w:r>
      <w:r>
        <w:rPr>
          <w:rFonts w:ascii="宋体" w:hAnsi="宋体" w:cs="宋体"/>
          <w:kern w:val="0"/>
          <w:sz w:val="24"/>
        </w:rPr>
        <w:instrText xml:space="preserve"> INCLUDEPICTURE  "D:\\E盘\\AppData\\Roaming\\Tencent\\Users\\14425424\\QQ\\WinTemp\\RichOle\\PUNS1PQHF0[KBWJH`6ZS5AW.png" \* MERGEFORMATINET </w:instrText>
      </w:r>
      <w:r>
        <w:rPr>
          <w:rFonts w:ascii="宋体" w:hAnsi="宋体" w:cs="宋体"/>
          <w:kern w:val="0"/>
          <w:sz w:val="24"/>
        </w:rPr>
        <w:fldChar w:fldCharType="separate"/>
      </w:r>
      <w:r>
        <w:rPr>
          <w:rFonts w:ascii="宋体" w:hAnsi="宋体" w:cs="宋体"/>
          <w:kern w:val="0"/>
          <w:sz w:val="24"/>
        </w:rPr>
        <w:fldChar w:fldCharType="begin"/>
      </w:r>
      <w:r>
        <w:rPr>
          <w:rFonts w:ascii="宋体" w:hAnsi="宋体" w:cs="宋体"/>
          <w:kern w:val="0"/>
          <w:sz w:val="24"/>
        </w:rPr>
        <w:instrText xml:space="preserve"> INCLUDEPICTURE  "D:\\E盘\\AppData\\Roaming\\Tencent\\Users\\14425424\\QQ\\WinTemp\\RichOle\\PUNS1PQHF0[KBWJH`6ZS5AW.png" \* MERGEFORMATINET </w:instrText>
      </w:r>
      <w:r>
        <w:rPr>
          <w:rFonts w:ascii="宋体" w:hAnsi="宋体" w:cs="宋体"/>
          <w:kern w:val="0"/>
          <w:sz w:val="24"/>
        </w:rPr>
        <w:fldChar w:fldCharType="separate"/>
      </w:r>
      <w:r>
        <w:rPr>
          <w:rFonts w:ascii="宋体" w:hAnsi="宋体" w:cs="宋体"/>
          <w:kern w:val="0"/>
          <w:sz w:val="24"/>
        </w:rPr>
        <w:fldChar w:fldCharType="begin"/>
      </w:r>
      <w:r>
        <w:rPr>
          <w:rFonts w:ascii="宋体" w:hAnsi="宋体" w:cs="宋体"/>
          <w:kern w:val="0"/>
          <w:sz w:val="24"/>
        </w:rPr>
        <w:instrText xml:space="preserve"> INCLUDEPICTURE  "D:\\E盘\\AppData\\Roaming\\Tencent\\Users\\14425424\\QQ\\WinTemp\\RichOle\\PUNS1PQHF0[KBWJH`6ZS5AW.png" \* MERGEFORMATINET </w:instrText>
      </w:r>
      <w:r>
        <w:rPr>
          <w:rFonts w:ascii="宋体" w:hAnsi="宋体" w:cs="宋体"/>
          <w:kern w:val="0"/>
          <w:sz w:val="24"/>
        </w:rPr>
        <w:fldChar w:fldCharType="separate"/>
      </w:r>
      <w:r>
        <w:rPr>
          <w:rFonts w:ascii="宋体" w:hAnsi="宋体" w:cs="宋体"/>
          <w:kern w:val="0"/>
          <w:sz w:val="24"/>
        </w:rPr>
        <w:fldChar w:fldCharType="begin"/>
      </w:r>
      <w:r>
        <w:rPr>
          <w:rFonts w:ascii="宋体" w:hAnsi="宋体" w:cs="宋体"/>
          <w:kern w:val="0"/>
          <w:sz w:val="24"/>
        </w:rPr>
        <w:instrText xml:space="preserve"> INCLUDEPICTURE  "D:\\E盘\\AppData\\Roaming\\Tencent\\Users\\14425424\\QQ\\WinTemp\\RichOle\\PUNS1PQHF0[KBWJH`6ZS5AW.png" \* MERGEFORMATINET </w:instrText>
      </w:r>
      <w:r>
        <w:rPr>
          <w:rFonts w:ascii="宋体" w:hAnsi="宋体" w:cs="宋体"/>
          <w:kern w:val="0"/>
          <w:sz w:val="24"/>
        </w:rPr>
        <w:fldChar w:fldCharType="separate"/>
      </w:r>
      <w:r>
        <w:rPr>
          <w:rFonts w:ascii="宋体" w:hAnsi="宋体" w:cs="宋体"/>
          <w:kern w:val="0"/>
          <w:sz w:val="24"/>
        </w:rPr>
        <w:fldChar w:fldCharType="begin"/>
      </w:r>
      <w:r>
        <w:rPr>
          <w:rFonts w:ascii="宋体" w:hAnsi="宋体" w:cs="宋体"/>
          <w:kern w:val="0"/>
          <w:sz w:val="24"/>
        </w:rPr>
        <w:instrText xml:space="preserve"> INCLUDEPICTURE  "D:\\E盘\\AppData\\Roaming\\Tencent\\Users\\14425424\\QQ\\WinTemp\\RichOle\\PUNS1PQHF0[KBWJH`6ZS5AW.png" \* MERGEFORMATINET </w:instrText>
      </w:r>
      <w:r>
        <w:rPr>
          <w:rFonts w:ascii="宋体" w:hAnsi="宋体" w:cs="宋体"/>
          <w:kern w:val="0"/>
          <w:sz w:val="24"/>
        </w:rPr>
        <w:fldChar w:fldCharType="separate"/>
      </w:r>
      <w:r>
        <w:rPr>
          <w:rFonts w:ascii="宋体" w:hAnsi="宋体" w:cs="宋体"/>
          <w:kern w:val="0"/>
          <w:sz w:val="24"/>
        </w:rPr>
        <w:fldChar w:fldCharType="begin"/>
      </w:r>
      <w:r>
        <w:rPr>
          <w:rFonts w:ascii="宋体" w:hAnsi="宋体" w:cs="宋体"/>
          <w:kern w:val="0"/>
          <w:sz w:val="24"/>
        </w:rPr>
        <w:instrText xml:space="preserve"> INCLUDEPICTURE  "D:\\E盘\\AppData\\Roaming\\Tencent\\Users\\14425424\\QQ\\WinTemp\\RichOle\\PUNS1PQHF0[KBWJH`6ZS5AW.png" \* MERGEFORMATINET </w:instrText>
      </w:r>
      <w:r>
        <w:rPr>
          <w:rFonts w:ascii="宋体" w:hAnsi="宋体" w:cs="宋体"/>
          <w:kern w:val="0"/>
          <w:sz w:val="24"/>
        </w:rPr>
        <w:fldChar w:fldCharType="separate"/>
      </w:r>
      <w:r>
        <w:rPr>
          <w:rFonts w:ascii="宋体" w:hAnsi="宋体" w:cs="宋体"/>
          <w:kern w:val="0"/>
          <w:sz w:val="24"/>
        </w:rPr>
        <w:fldChar w:fldCharType="begin"/>
      </w:r>
      <w:r>
        <w:rPr>
          <w:rFonts w:ascii="宋体" w:hAnsi="宋体" w:cs="宋体"/>
          <w:kern w:val="0"/>
          <w:sz w:val="24"/>
        </w:rPr>
        <w:instrText xml:space="preserve"> INCLUDEPICTURE  "D:\\E盘\\AppData\\Roaming\\Tencent\\Users\\14425424\\QQ\\WinTemp\\RichOle\\PUNS1PQHF0[KBWJH`6ZS5AW.png" \* MERGEFORMATINET </w:instrText>
      </w:r>
      <w:r>
        <w:rPr>
          <w:rFonts w:ascii="宋体" w:hAnsi="宋体" w:cs="宋体"/>
          <w:kern w:val="0"/>
          <w:sz w:val="24"/>
        </w:rPr>
        <w:fldChar w:fldCharType="separate"/>
      </w:r>
      <w:r>
        <w:rPr>
          <w:rFonts w:ascii="宋体" w:hAnsi="宋体" w:cs="宋体"/>
          <w:kern w:val="0"/>
          <w:sz w:val="24"/>
        </w:rPr>
        <w:fldChar w:fldCharType="begin"/>
      </w:r>
      <w:r>
        <w:rPr>
          <w:rFonts w:ascii="宋体" w:hAnsi="宋体" w:cs="宋体"/>
          <w:kern w:val="0"/>
          <w:sz w:val="24"/>
        </w:rPr>
        <w:instrText xml:space="preserve"> INCLUDEPICTURE  "D:\\E盘\\AppData\\Roaming\\Tencent\\Users\\14425424\\QQ\\WinTemp\\RichOle\\PUNS1PQHF0[KBWJH`6ZS5AW.png" \* MERGEFORMATINET </w:instrText>
      </w:r>
      <w:r>
        <w:rPr>
          <w:rFonts w:ascii="宋体" w:hAnsi="宋体" w:cs="宋体"/>
          <w:kern w:val="0"/>
          <w:sz w:val="24"/>
        </w:rPr>
        <w:fldChar w:fldCharType="separate"/>
      </w:r>
      <w:r>
        <w:rPr>
          <w:rFonts w:ascii="宋体" w:hAnsi="宋体" w:cs="宋体"/>
          <w:kern w:val="0"/>
          <w:sz w:val="24"/>
        </w:rPr>
        <w:pict>
          <v:shape id="_x0000_i1025" o:spt="75" type="#_x0000_t75" style="height:266.25pt;width:475.55pt;" filled="f" o:preferrelative="t" stroked="f" coordsize="21600,21600">
            <v:path/>
            <v:fill on="f" focussize="0,0"/>
            <v:stroke on="f" joinstyle="miter"/>
            <v:imagedata r:id="rId6" r:href="rId7" o:title=""/>
            <o:lock v:ext="edit" aspectratio="t"/>
            <w10:wrap type="none"/>
            <w10:anchorlock/>
          </v:shape>
        </w:pict>
      </w:r>
      <w:r>
        <w:rPr>
          <w:rFonts w:ascii="宋体" w:hAnsi="宋体" w:cs="宋体"/>
          <w:kern w:val="0"/>
          <w:sz w:val="24"/>
        </w:rPr>
        <w:fldChar w:fldCharType="end"/>
      </w:r>
      <w:r>
        <w:rPr>
          <w:rFonts w:ascii="宋体" w:hAnsi="宋体" w:cs="宋体"/>
          <w:kern w:val="0"/>
          <w:sz w:val="24"/>
        </w:rPr>
        <w:fldChar w:fldCharType="end"/>
      </w:r>
      <w:r>
        <w:rPr>
          <w:rFonts w:ascii="宋体" w:hAnsi="宋体" w:cs="宋体"/>
          <w:kern w:val="0"/>
          <w:sz w:val="24"/>
        </w:rPr>
        <w:fldChar w:fldCharType="end"/>
      </w:r>
      <w:r>
        <w:rPr>
          <w:rFonts w:ascii="宋体" w:hAnsi="宋体" w:cs="宋体"/>
          <w:kern w:val="0"/>
          <w:sz w:val="24"/>
        </w:rPr>
        <w:fldChar w:fldCharType="end"/>
      </w:r>
      <w:r>
        <w:rPr>
          <w:rFonts w:ascii="宋体" w:hAnsi="宋体" w:cs="宋体"/>
          <w:kern w:val="0"/>
          <w:sz w:val="24"/>
        </w:rPr>
        <w:fldChar w:fldCharType="end"/>
      </w:r>
      <w:r>
        <w:rPr>
          <w:rFonts w:ascii="宋体" w:hAnsi="宋体" w:cs="宋体"/>
          <w:kern w:val="0"/>
          <w:sz w:val="24"/>
        </w:rPr>
        <w:fldChar w:fldCharType="end"/>
      </w:r>
      <w:r>
        <w:rPr>
          <w:rFonts w:ascii="宋体" w:hAnsi="宋体" w:cs="宋体"/>
          <w:kern w:val="0"/>
          <w:sz w:val="24"/>
        </w:rPr>
        <w:fldChar w:fldCharType="end"/>
      </w:r>
      <w:r>
        <w:rPr>
          <w:rFonts w:ascii="宋体" w:hAnsi="宋体" w:cs="宋体"/>
          <w:kern w:val="0"/>
          <w:sz w:val="24"/>
        </w:rPr>
        <w:fldChar w:fldCharType="end"/>
      </w:r>
      <w:r>
        <w:rPr>
          <w:rFonts w:ascii="宋体" w:hAnsi="宋体" w:cs="宋体"/>
          <w:kern w:val="0"/>
          <w:sz w:val="24"/>
        </w:rPr>
        <w:fldChar w:fldCharType="end"/>
      </w:r>
      <w:r>
        <w:rPr>
          <w:rFonts w:ascii="宋体" w:hAnsi="宋体" w:cs="宋体"/>
          <w:kern w:val="0"/>
          <w:sz w:val="24"/>
        </w:rPr>
        <w:fldChar w:fldCharType="end"/>
      </w:r>
      <w:r>
        <w:rPr>
          <w:rFonts w:ascii="宋体" w:hAnsi="宋体" w:cs="宋体"/>
          <w:kern w:val="0"/>
          <w:sz w:val="24"/>
        </w:rPr>
        <w:fldChar w:fldCharType="end"/>
      </w:r>
      <w:r>
        <w:rPr>
          <w:rFonts w:ascii="宋体" w:hAnsi="宋体" w:cs="宋体"/>
          <w:kern w:val="0"/>
          <w:sz w:val="24"/>
        </w:rPr>
        <w:fldChar w:fldCharType="end"/>
      </w:r>
    </w:p>
    <w:p>
      <w:pPr>
        <w:widowControl/>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路线说明：</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路线1：G7</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兰海高速安吉出口，沿西津路、连畴路、永林路至能力验证现场。</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路线2：那安快速路连畴路出口，沿连畴路、永林路至能力验证现场。</w:t>
      </w:r>
    </w:p>
    <w:p>
      <w:pPr>
        <w:spacing w:line="590" w:lineRule="exact"/>
        <w:ind w:firstLine="640" w:firstLineChars="200"/>
        <w:rPr>
          <w:rFonts w:ascii="Times New Roman" w:hAnsi="Times New Roman" w:eastAsia="方正仿宋_GBK"/>
          <w:sz w:val="32"/>
          <w:szCs w:val="22"/>
        </w:rPr>
      </w:pPr>
    </w:p>
    <w:p>
      <w:pPr>
        <w:spacing w:line="590" w:lineRule="exact"/>
        <w:rPr>
          <w:rFonts w:ascii="Times New Roman" w:hAnsi="Times New Roman" w:eastAsia="方正仿宋_GBK"/>
          <w:sz w:val="32"/>
          <w:szCs w:val="22"/>
        </w:rPr>
        <w:sectPr>
          <w:footerReference r:id="rId3" w:type="default"/>
          <w:footerReference r:id="rId4" w:type="even"/>
          <w:pgSz w:w="11906" w:h="16838"/>
          <w:pgMar w:top="1928" w:right="1418" w:bottom="1814" w:left="1418" w:header="851" w:footer="992" w:gutter="0"/>
          <w:pgNumType w:fmt="numberInDash" w:chapStyle="1"/>
          <w:cols w:space="720" w:num="1"/>
          <w:docGrid w:type="lines" w:linePitch="312" w:charSpace="0"/>
        </w:sectPr>
      </w:pPr>
    </w:p>
    <w:p>
      <w:pPr>
        <w:spacing w:line="400" w:lineRule="exact"/>
        <w:jc w:val="left"/>
        <w:rPr>
          <w:rFonts w:ascii="Times New Roman" w:hAnsi="Times New Roman" w:eastAsia="方正仿宋_GBK"/>
          <w:sz w:val="32"/>
          <w:szCs w:val="22"/>
        </w:rPr>
      </w:pPr>
      <w:r>
        <w:rPr>
          <w:rFonts w:hint="eastAsia" w:ascii="Times New Roman" w:hAnsi="Times New Roman" w:eastAsia="方正仿宋_GBK"/>
          <w:sz w:val="32"/>
          <w:szCs w:val="22"/>
        </w:rPr>
        <w:t>附表1</w:t>
      </w:r>
    </w:p>
    <w:p>
      <w:pPr>
        <w:jc w:val="center"/>
        <w:rPr>
          <w:sz w:val="28"/>
          <w:szCs w:val="21"/>
        </w:rPr>
      </w:pPr>
      <w:r>
        <w:rPr>
          <w:rFonts w:hint="eastAsia"/>
          <w:b/>
          <w:bCs/>
          <w:sz w:val="36"/>
          <w:szCs w:val="36"/>
        </w:rPr>
        <w:t>回弹法检测构件混凝土强度原始记录表</w:t>
      </w:r>
    </w:p>
    <w:tbl>
      <w:tblPr>
        <w:tblStyle w:val="8"/>
        <w:tblW w:w="1504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1666"/>
        <w:gridCol w:w="678"/>
        <w:gridCol w:w="677"/>
        <w:gridCol w:w="677"/>
        <w:gridCol w:w="677"/>
        <w:gridCol w:w="677"/>
        <w:gridCol w:w="677"/>
        <w:gridCol w:w="677"/>
        <w:gridCol w:w="677"/>
        <w:gridCol w:w="677"/>
        <w:gridCol w:w="678"/>
        <w:gridCol w:w="678"/>
        <w:gridCol w:w="678"/>
        <w:gridCol w:w="678"/>
        <w:gridCol w:w="678"/>
        <w:gridCol w:w="678"/>
        <w:gridCol w:w="678"/>
        <w:gridCol w:w="678"/>
        <w:gridCol w:w="136"/>
        <w:gridCol w:w="17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97" w:hRule="atLeast"/>
        </w:trPr>
        <w:tc>
          <w:tcPr>
            <w:tcW w:w="1666"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检测机构名称</w:t>
            </w:r>
          </w:p>
        </w:tc>
        <w:tc>
          <w:tcPr>
            <w:tcW w:w="13382" w:type="dxa"/>
            <w:gridSpan w:val="19"/>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97" w:hRule="atLeast"/>
        </w:trPr>
        <w:tc>
          <w:tcPr>
            <w:tcW w:w="16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sz w:val="24"/>
              </w:rPr>
              <w:t>检测开始时间</w:t>
            </w:r>
          </w:p>
        </w:tc>
        <w:tc>
          <w:tcPr>
            <w:tcW w:w="6094"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0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sz w:val="24"/>
              </w:rPr>
              <w:t>检测结束时间</w:t>
            </w:r>
          </w:p>
        </w:tc>
        <w:tc>
          <w:tcPr>
            <w:tcW w:w="5254"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97" w:hRule="atLeast"/>
        </w:trPr>
        <w:tc>
          <w:tcPr>
            <w:tcW w:w="16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检测区编号</w:t>
            </w:r>
          </w:p>
        </w:tc>
        <w:tc>
          <w:tcPr>
            <w:tcW w:w="6094"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0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检测依据</w:t>
            </w:r>
          </w:p>
        </w:tc>
        <w:tc>
          <w:tcPr>
            <w:tcW w:w="5254"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97" w:hRule="atLeast"/>
        </w:trPr>
        <w:tc>
          <w:tcPr>
            <w:tcW w:w="16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仪器设备</w:t>
            </w:r>
          </w:p>
        </w:tc>
        <w:tc>
          <w:tcPr>
            <w:tcW w:w="6094"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0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检测日期</w:t>
            </w:r>
          </w:p>
        </w:tc>
        <w:tc>
          <w:tcPr>
            <w:tcW w:w="271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天气</w:t>
            </w:r>
          </w:p>
        </w:tc>
        <w:tc>
          <w:tcPr>
            <w:tcW w:w="18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97" w:hRule="atLeast"/>
        </w:trPr>
        <w:tc>
          <w:tcPr>
            <w:tcW w:w="16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测面状态</w:t>
            </w:r>
          </w:p>
        </w:tc>
        <w:tc>
          <w:tcPr>
            <w:tcW w:w="6094" w:type="dxa"/>
            <w:gridSpan w:val="9"/>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20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测试角度</w:t>
            </w:r>
          </w:p>
        </w:tc>
        <w:tc>
          <w:tcPr>
            <w:tcW w:w="5254" w:type="dxa"/>
            <w:gridSpan w:val="7"/>
            <w:tcBorders>
              <w:top w:val="single" w:color="auto" w:sz="4" w:space="0"/>
              <w:left w:val="single" w:color="auto" w:sz="4" w:space="0"/>
              <w:bottom w:val="single" w:color="auto" w:sz="4" w:space="0"/>
              <w:right w:val="single" w:color="auto" w:sz="4" w:space="0"/>
            </w:tcBorders>
            <w:vAlign w:val="center"/>
          </w:tcPr>
          <w:p>
            <w:pPr>
              <w:ind w:firstLine="240" w:firstLineChars="100"/>
              <w:rPr>
                <w:rFonts w:ascii="宋体" w:hAnsi="宋体"/>
                <w:sz w:val="24"/>
              </w:rPr>
            </w:pPr>
            <w:r>
              <w:rPr>
                <w:rFonts w:hint="eastAsia" w:ascii="宋体" w:hAnsi="宋体" w:cs="宋体"/>
                <w:kern w:val="0"/>
                <w:sz w:val="24"/>
              </w:rPr>
              <w:t>□</w:t>
            </w:r>
            <w:r>
              <w:rPr>
                <w:rFonts w:hint="eastAsia" w:ascii="宋体" w:hAnsi="宋体"/>
                <w:sz w:val="24"/>
              </w:rPr>
              <w:t>水平</w:t>
            </w:r>
            <w:r>
              <w:rPr>
                <w:rFonts w:ascii="宋体" w:hAnsi="宋体"/>
                <w:sz w:val="24"/>
              </w:rPr>
              <w:t xml:space="preserve">    </w:t>
            </w:r>
            <w:r>
              <w:rPr>
                <w:rFonts w:hint="eastAsia" w:ascii="宋体" w:hAnsi="宋体" w:cs="宋体"/>
                <w:kern w:val="0"/>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70" w:hRule="atLeast"/>
        </w:trPr>
        <w:tc>
          <w:tcPr>
            <w:tcW w:w="1666" w:type="dxa"/>
            <w:vMerge w:val="restart"/>
            <w:tcBorders>
              <w:top w:val="single" w:color="auto" w:sz="4" w:space="0"/>
              <w:left w:val="single" w:color="auto" w:sz="4" w:space="0"/>
              <w:right w:val="single" w:color="auto" w:sz="4" w:space="0"/>
            </w:tcBorders>
            <w:vAlign w:val="center"/>
          </w:tcPr>
          <w:p>
            <w:pPr>
              <w:jc w:val="center"/>
              <w:rPr>
                <w:rFonts w:ascii="宋体" w:hAnsi="宋体"/>
                <w:sz w:val="24"/>
              </w:rPr>
            </w:pPr>
            <w:r>
              <w:rPr>
                <w:rFonts w:hint="eastAsia" w:ascii="宋体" w:hAnsi="宋体"/>
                <w:sz w:val="24"/>
              </w:rPr>
              <w:t xml:space="preserve">测 </w:t>
            </w:r>
            <w:r>
              <w:rPr>
                <w:rFonts w:ascii="宋体" w:hAnsi="宋体"/>
                <w:sz w:val="24"/>
              </w:rPr>
              <w:t xml:space="preserve"> </w:t>
            </w:r>
            <w:r>
              <w:rPr>
                <w:rFonts w:hint="eastAsia" w:ascii="宋体" w:hAnsi="宋体"/>
                <w:sz w:val="24"/>
              </w:rPr>
              <w:t>区</w:t>
            </w:r>
          </w:p>
        </w:tc>
        <w:tc>
          <w:tcPr>
            <w:tcW w:w="11654" w:type="dxa"/>
            <w:gridSpan w:val="18"/>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回</w:t>
            </w:r>
            <w:r>
              <w:rPr>
                <w:rFonts w:ascii="宋体" w:hAnsi="宋体"/>
                <w:sz w:val="24"/>
              </w:rPr>
              <w:t xml:space="preserve">      </w:t>
            </w:r>
            <w:r>
              <w:rPr>
                <w:rFonts w:hint="eastAsia" w:ascii="宋体" w:hAnsi="宋体"/>
                <w:sz w:val="24"/>
              </w:rPr>
              <w:t>弹</w:t>
            </w:r>
            <w:r>
              <w:rPr>
                <w:rFonts w:ascii="宋体" w:hAnsi="宋体"/>
                <w:sz w:val="24"/>
              </w:rPr>
              <w:t xml:space="preserve">      </w:t>
            </w:r>
            <w:r>
              <w:rPr>
                <w:rFonts w:hint="eastAsia" w:ascii="宋体" w:hAnsi="宋体"/>
                <w:sz w:val="24"/>
              </w:rPr>
              <w:t>值</w:t>
            </w:r>
            <w:r>
              <w:rPr>
                <w:rFonts w:ascii="宋体" w:hAnsi="宋体"/>
                <w:sz w:val="24"/>
              </w:rPr>
              <w:t xml:space="preserve">      R</w:t>
            </w:r>
            <w:r>
              <w:rPr>
                <w:rFonts w:ascii="宋体" w:hAnsi="宋体"/>
                <w:sz w:val="24"/>
                <w:vertAlign w:val="subscript"/>
              </w:rPr>
              <w:t>i</w:t>
            </w:r>
          </w:p>
        </w:tc>
        <w:tc>
          <w:tcPr>
            <w:tcW w:w="17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24"/>
              </w:rPr>
            </w:pPr>
            <w:r>
              <w:rPr>
                <w:rFonts w:hint="eastAsia" w:ascii="宋体" w:hAnsi="宋体"/>
                <w:sz w:val="24"/>
              </w:rPr>
              <w:t>碳化深度</w:t>
            </w:r>
          </w:p>
          <w:p>
            <w:pPr>
              <w:spacing w:line="240" w:lineRule="exact"/>
              <w:jc w:val="center"/>
              <w:rPr>
                <w:rFonts w:ascii="宋体" w:hAnsi="宋体"/>
                <w:sz w:val="24"/>
              </w:rPr>
            </w:pPr>
            <w:r>
              <w:rPr>
                <w:rFonts w:ascii="宋体" w:hAnsi="宋体"/>
                <w:sz w:val="24"/>
              </w:rPr>
              <w:t>d</w:t>
            </w:r>
            <w:r>
              <w:rPr>
                <w:rFonts w:ascii="宋体" w:hAnsi="宋体"/>
                <w:sz w:val="24"/>
                <w:vertAlign w:val="subscript"/>
              </w:rPr>
              <w:t>i</w:t>
            </w:r>
            <w:r>
              <w:rPr>
                <w:rFonts w:ascii="宋体" w:hAnsi="宋体"/>
                <w:sz w:val="24"/>
              </w:rPr>
              <w:t>(mm)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748" w:hRule="atLeast"/>
        </w:trPr>
        <w:tc>
          <w:tcPr>
            <w:tcW w:w="1666" w:type="dxa"/>
            <w:vMerge w:val="continue"/>
            <w:tcBorders>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w:t>
            </w: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w:t>
            </w: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3</w:t>
            </w: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w:t>
            </w: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5</w:t>
            </w: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6</w:t>
            </w: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7</w:t>
            </w: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8</w:t>
            </w: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9</w:t>
            </w: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10</w:t>
            </w: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11</w:t>
            </w: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12</w:t>
            </w: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13</w:t>
            </w: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14</w:t>
            </w: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15</w:t>
            </w: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16</w:t>
            </w:r>
          </w:p>
        </w:tc>
        <w:tc>
          <w:tcPr>
            <w:tcW w:w="8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R</w:t>
            </w:r>
            <w:r>
              <w:rPr>
                <w:rFonts w:hint="eastAsia" w:ascii="宋体" w:hAnsi="宋体"/>
                <w:sz w:val="24"/>
                <w:vertAlign w:val="subscript"/>
              </w:rPr>
              <w:t>m</w:t>
            </w:r>
          </w:p>
        </w:tc>
        <w:tc>
          <w:tcPr>
            <w:tcW w:w="1728" w:type="dxa"/>
            <w:tcBorders>
              <w:top w:val="single" w:color="auto" w:sz="4" w:space="0"/>
              <w:left w:val="single" w:color="auto" w:sz="4" w:space="0"/>
              <w:right w:val="single" w:color="auto" w:sz="4" w:space="0"/>
            </w:tcBorders>
            <w:vAlign w:val="center"/>
          </w:tcPr>
          <w:p>
            <w:pPr>
              <w:widowControl/>
              <w:jc w:val="center"/>
              <w:rPr>
                <w:rFonts w:ascii="宋体" w:hAnsi="宋体"/>
                <w:sz w:val="24"/>
              </w:rPr>
            </w:pPr>
            <w:r>
              <w:rPr>
                <w:rFonts w:hint="eastAsia" w:ascii="宋体" w:hAnsi="宋体"/>
                <w:sz w:val="24"/>
              </w:rPr>
              <w:t>平均值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97" w:hRule="atLeast"/>
        </w:trPr>
        <w:tc>
          <w:tcPr>
            <w:tcW w:w="16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1</w:t>
            </w: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728" w:type="dxa"/>
            <w:vMerge w:val="restart"/>
            <w:tcBorders>
              <w:top w:val="single" w:color="auto" w:sz="4" w:space="0"/>
              <w:left w:val="single" w:color="auto" w:sz="4" w:space="0"/>
              <w:right w:val="single" w:color="auto" w:sz="4" w:space="0"/>
            </w:tcBorders>
            <w:vAlign w:val="center"/>
          </w:tcPr>
          <w:p>
            <w:pPr>
              <w:jc w:val="center"/>
              <w:rPr>
                <w:rFonts w:ascii="宋体" w:hAnsi="宋体"/>
                <w:sz w:val="24"/>
              </w:rPr>
            </w:pPr>
            <w:r>
              <w:rPr>
                <w:rFonts w:hint="eastAsia" w:ascii="宋体" w:hAnsi="宋体"/>
                <w:sz w:val="24"/>
              </w:rPr>
              <w:t>1</w:t>
            </w:r>
            <w:r>
              <w:rPr>
                <w:rFonts w:ascii="宋体" w:hAnsi="宋体"/>
                <w:sz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97" w:hRule="atLeast"/>
        </w:trPr>
        <w:tc>
          <w:tcPr>
            <w:tcW w:w="16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2</w:t>
            </w: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728" w:type="dxa"/>
            <w:vMerge w:val="continue"/>
            <w:tcBorders>
              <w:left w:val="single" w:color="auto" w:sz="4" w:space="0"/>
              <w:right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97" w:hRule="atLeast"/>
        </w:trPr>
        <w:tc>
          <w:tcPr>
            <w:tcW w:w="16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3</w:t>
            </w: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728" w:type="dxa"/>
            <w:vMerge w:val="continue"/>
            <w:tcBorders>
              <w:left w:val="single" w:color="auto" w:sz="4" w:space="0"/>
              <w:right w:val="single" w:color="auto" w:sz="4" w:space="0"/>
            </w:tcBorders>
            <w:vAlign w:val="center"/>
          </w:tcPr>
          <w:p>
            <w:pPr>
              <w:widowControl/>
              <w:jc w:val="lef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97" w:hRule="atLeast"/>
        </w:trPr>
        <w:tc>
          <w:tcPr>
            <w:tcW w:w="16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4</w:t>
            </w: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728" w:type="dxa"/>
            <w:vMerge w:val="continue"/>
            <w:tcBorders>
              <w:left w:val="single" w:color="auto" w:sz="4" w:space="0"/>
              <w:right w:val="single" w:color="auto" w:sz="4" w:space="0"/>
            </w:tcBorders>
            <w:vAlign w:val="center"/>
          </w:tcPr>
          <w:p>
            <w:pPr>
              <w:widowControl/>
              <w:jc w:val="lef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97" w:hRule="atLeast"/>
        </w:trPr>
        <w:tc>
          <w:tcPr>
            <w:tcW w:w="16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5</w:t>
            </w: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728" w:type="dxa"/>
            <w:vMerge w:val="continue"/>
            <w:tcBorders>
              <w:left w:val="single" w:color="auto" w:sz="4" w:space="0"/>
              <w:right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97" w:hRule="atLeast"/>
        </w:trPr>
        <w:tc>
          <w:tcPr>
            <w:tcW w:w="16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6</w:t>
            </w: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728" w:type="dxa"/>
            <w:vMerge w:val="continue"/>
            <w:tcBorders>
              <w:left w:val="single" w:color="auto" w:sz="4" w:space="0"/>
              <w:right w:val="single" w:color="auto" w:sz="4" w:space="0"/>
            </w:tcBorders>
            <w:vAlign w:val="center"/>
          </w:tcPr>
          <w:p>
            <w:pPr>
              <w:widowControl/>
              <w:jc w:val="lef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97" w:hRule="atLeast"/>
        </w:trPr>
        <w:tc>
          <w:tcPr>
            <w:tcW w:w="16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7</w:t>
            </w: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728" w:type="dxa"/>
            <w:vMerge w:val="continue"/>
            <w:tcBorders>
              <w:left w:val="single" w:color="auto" w:sz="4" w:space="0"/>
              <w:right w:val="single" w:color="auto" w:sz="4" w:space="0"/>
            </w:tcBorders>
            <w:vAlign w:val="center"/>
          </w:tcPr>
          <w:p>
            <w:pPr>
              <w:widowControl/>
              <w:jc w:val="lef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97" w:hRule="atLeast"/>
        </w:trPr>
        <w:tc>
          <w:tcPr>
            <w:tcW w:w="16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8</w:t>
            </w: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728" w:type="dxa"/>
            <w:vMerge w:val="continue"/>
            <w:tcBorders>
              <w:left w:val="single" w:color="auto" w:sz="4" w:space="0"/>
              <w:right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97" w:hRule="atLeast"/>
        </w:trPr>
        <w:tc>
          <w:tcPr>
            <w:tcW w:w="16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9</w:t>
            </w: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728" w:type="dxa"/>
            <w:vMerge w:val="continue"/>
            <w:tcBorders>
              <w:left w:val="single" w:color="auto" w:sz="4" w:space="0"/>
              <w:right w:val="single" w:color="auto" w:sz="4" w:space="0"/>
            </w:tcBorders>
            <w:vAlign w:val="center"/>
          </w:tcPr>
          <w:p>
            <w:pPr>
              <w:widowControl/>
              <w:jc w:val="lef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97" w:hRule="atLeast"/>
        </w:trPr>
        <w:tc>
          <w:tcPr>
            <w:tcW w:w="16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10</w:t>
            </w: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728" w:type="dxa"/>
            <w:vMerge w:val="continue"/>
            <w:tcBorders>
              <w:left w:val="single" w:color="auto" w:sz="4" w:space="0"/>
              <w:bottom w:val="single" w:color="auto" w:sz="4" w:space="0"/>
              <w:right w:val="single" w:color="auto" w:sz="4" w:space="0"/>
            </w:tcBorders>
            <w:vAlign w:val="center"/>
          </w:tcPr>
          <w:p>
            <w:pPr>
              <w:widowControl/>
              <w:jc w:val="left"/>
              <w:rPr>
                <w:rFonts w:ascii="宋体" w:hAnsi="宋体"/>
                <w:sz w:val="24"/>
              </w:rPr>
            </w:pPr>
          </w:p>
        </w:tc>
      </w:tr>
    </w:tbl>
    <w:p>
      <w:pPr>
        <w:spacing w:line="590" w:lineRule="exact"/>
        <w:rPr>
          <w:rFonts w:ascii="Times New Roman" w:hAnsi="Times New Roman" w:eastAsia="方正仿宋_GBK"/>
          <w:sz w:val="32"/>
          <w:szCs w:val="22"/>
        </w:rPr>
      </w:pPr>
      <w:r>
        <w:rPr>
          <w:rFonts w:hint="eastAsia"/>
          <w:sz w:val="24"/>
          <w:szCs w:val="21"/>
        </w:rPr>
        <w:t>校核：</w:t>
      </w:r>
      <w:r>
        <w:rPr>
          <w:sz w:val="24"/>
          <w:szCs w:val="21"/>
        </w:rPr>
        <w:t xml:space="preserve">                                  </w:t>
      </w:r>
      <w:r>
        <w:rPr>
          <w:rFonts w:hint="eastAsia"/>
          <w:sz w:val="24"/>
          <w:szCs w:val="21"/>
        </w:rPr>
        <w:t>检测：</w:t>
      </w:r>
      <w:r>
        <w:rPr>
          <w:sz w:val="24"/>
          <w:szCs w:val="21"/>
        </w:rPr>
        <w:t xml:space="preserve">     </w:t>
      </w:r>
      <w:r>
        <w:rPr>
          <w:rFonts w:hint="eastAsia"/>
          <w:sz w:val="24"/>
          <w:szCs w:val="21"/>
        </w:rPr>
        <w:t xml:space="preserve">     </w:t>
      </w:r>
      <w:r>
        <w:rPr>
          <w:sz w:val="24"/>
          <w:szCs w:val="21"/>
        </w:rPr>
        <w:t xml:space="preserve">                             </w:t>
      </w:r>
      <w:r>
        <w:rPr>
          <w:rFonts w:hint="eastAsia"/>
          <w:sz w:val="24"/>
          <w:szCs w:val="21"/>
        </w:rPr>
        <w:t>监督：</w:t>
      </w:r>
    </w:p>
    <w:p>
      <w:pPr>
        <w:ind w:firstLine="300" w:firstLineChars="100"/>
        <w:jc w:val="left"/>
        <w:rPr>
          <w:sz w:val="30"/>
          <w:szCs w:val="30"/>
        </w:rPr>
        <w:sectPr>
          <w:pgSz w:w="16838" w:h="11906" w:orient="landscape"/>
          <w:pgMar w:top="907" w:right="1134" w:bottom="907" w:left="1134" w:header="851" w:footer="992" w:gutter="0"/>
          <w:pgNumType w:fmt="numberInDash" w:chapStyle="1"/>
          <w:cols w:space="720" w:num="1"/>
          <w:docGrid w:type="lines" w:linePitch="312" w:charSpace="0"/>
        </w:sectPr>
      </w:pPr>
    </w:p>
    <w:p>
      <w:pPr>
        <w:spacing w:line="520" w:lineRule="exact"/>
        <w:rPr>
          <w:rFonts w:ascii="宋体" w:hAnsi="宋体"/>
          <w:sz w:val="28"/>
          <w:szCs w:val="28"/>
        </w:rPr>
      </w:pPr>
      <w:r>
        <w:rPr>
          <w:sz w:val="30"/>
          <w:szCs w:val="30"/>
        </w:rPr>
        <w:tab/>
      </w:r>
      <w:r>
        <w:rPr>
          <w:rFonts w:hint="eastAsia" w:ascii="Times New Roman" w:hAnsi="Times New Roman" w:eastAsia="方正仿宋_GBK"/>
          <w:sz w:val="32"/>
          <w:szCs w:val="22"/>
        </w:rPr>
        <w:t>附表2</w:t>
      </w:r>
    </w:p>
    <w:p>
      <w:pPr>
        <w:spacing w:line="520" w:lineRule="exact"/>
        <w:jc w:val="center"/>
        <w:rPr>
          <w:rFonts w:ascii="宋体" w:hAnsi="宋体"/>
          <w:b/>
          <w:bCs/>
          <w:sz w:val="36"/>
          <w:szCs w:val="36"/>
        </w:rPr>
      </w:pPr>
      <w:r>
        <w:rPr>
          <w:rFonts w:hint="eastAsia" w:ascii="宋体" w:hAnsi="宋体"/>
          <w:b/>
          <w:bCs/>
          <w:sz w:val="36"/>
          <w:szCs w:val="36"/>
        </w:rPr>
        <w:t>回弹法检测构件混凝土强度计算表</w:t>
      </w:r>
    </w:p>
    <w:p>
      <w:pPr>
        <w:ind w:left="7200" w:hanging="7200" w:hangingChars="3000"/>
        <w:jc w:val="left"/>
        <w:rPr>
          <w:rFonts w:ascii="宋体" w:hAnsi="宋体"/>
          <w:sz w:val="24"/>
        </w:rPr>
      </w:pPr>
    </w:p>
    <w:tbl>
      <w:tblPr>
        <w:tblStyle w:val="8"/>
        <w:tblW w:w="9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
        <w:gridCol w:w="1141"/>
        <w:gridCol w:w="745"/>
        <w:gridCol w:w="687"/>
        <w:gridCol w:w="687"/>
        <w:gridCol w:w="687"/>
        <w:gridCol w:w="688"/>
        <w:gridCol w:w="687"/>
        <w:gridCol w:w="687"/>
        <w:gridCol w:w="688"/>
        <w:gridCol w:w="692"/>
        <w:gridCol w:w="687"/>
        <w:gridCol w:w="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检测机构名称</w:t>
            </w:r>
          </w:p>
        </w:tc>
        <w:tc>
          <w:tcPr>
            <w:tcW w:w="7623" w:type="dxa"/>
            <w:gridSpan w:val="11"/>
            <w:tcBorders>
              <w:top w:val="single" w:color="auto" w:sz="4" w:space="0"/>
              <w:left w:val="nil"/>
              <w:bottom w:val="single" w:color="auto" w:sz="4" w:space="0"/>
              <w:right w:val="single" w:color="auto" w:sz="4" w:space="0"/>
            </w:tcBorders>
            <w:vAlign w:val="center"/>
          </w:tcPr>
          <w:p>
            <w:pPr>
              <w:jc w:val="righ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64" w:type="dxa"/>
            <w:gridSpan w:val="2"/>
            <w:tcBorders>
              <w:top w:val="single" w:color="auto" w:sz="4" w:space="0"/>
              <w:left w:val="single" w:color="auto" w:sz="4" w:space="0"/>
              <w:bottom w:val="single" w:color="auto" w:sz="4" w:space="0"/>
              <w:right w:val="single" w:color="auto" w:sz="4" w:space="0"/>
            </w:tcBorders>
            <w:vAlign w:val="center"/>
          </w:tcPr>
          <w:p>
            <w:pPr>
              <w:ind w:left="-105" w:leftChars="-50" w:right="-105" w:rightChars="-50"/>
              <w:jc w:val="center"/>
              <w:rPr>
                <w:rFonts w:ascii="宋体" w:hAnsi="宋体"/>
                <w:sz w:val="24"/>
              </w:rPr>
            </w:pPr>
            <w:r>
              <w:rPr>
                <w:rFonts w:hint="eastAsia" w:ascii="宋体" w:hAnsi="宋体"/>
                <w:sz w:val="24"/>
              </w:rPr>
              <w:t>检测区编号</w:t>
            </w:r>
          </w:p>
        </w:tc>
        <w:tc>
          <w:tcPr>
            <w:tcW w:w="4181" w:type="dxa"/>
            <w:gridSpan w:val="6"/>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375"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检测日期</w:t>
            </w:r>
          </w:p>
        </w:tc>
        <w:tc>
          <w:tcPr>
            <w:tcW w:w="2067"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 xml:space="preserve"> </w:t>
            </w:r>
            <w:r>
              <w:rPr>
                <w:rFonts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2609" w:type="dxa"/>
            <w:gridSpan w:val="3"/>
            <w:tcBorders>
              <w:top w:val="single" w:color="auto" w:sz="4" w:space="0"/>
              <w:left w:val="single" w:color="auto" w:sz="4" w:space="0"/>
              <w:bottom w:val="single" w:color="auto" w:sz="4" w:space="0"/>
              <w:right w:val="single" w:color="auto" w:sz="4" w:space="0"/>
              <w:tl2br w:val="single" w:color="auto" w:sz="4" w:space="0"/>
            </w:tcBorders>
            <w:vAlign w:val="center"/>
          </w:tcPr>
          <w:p>
            <w:pPr>
              <w:jc w:val="right"/>
              <w:rPr>
                <w:rFonts w:ascii="宋体" w:hAnsi="宋体"/>
                <w:sz w:val="24"/>
              </w:rPr>
            </w:pPr>
            <w:r>
              <w:rPr>
                <w:rFonts w:hint="eastAsia" w:ascii="宋体" w:hAnsi="宋体"/>
                <w:sz w:val="24"/>
              </w:rPr>
              <w:t>测  区</w:t>
            </w:r>
          </w:p>
          <w:p>
            <w:pPr>
              <w:jc w:val="center"/>
              <w:rPr>
                <w:rFonts w:ascii="宋体" w:hAnsi="宋体"/>
                <w:sz w:val="24"/>
              </w:rPr>
            </w:pPr>
          </w:p>
          <w:p>
            <w:pPr>
              <w:rPr>
                <w:rFonts w:ascii="宋体" w:hAnsi="宋体"/>
                <w:sz w:val="24"/>
              </w:rPr>
            </w:pPr>
            <w:r>
              <w:rPr>
                <w:rFonts w:hint="eastAsia" w:ascii="宋体" w:hAnsi="宋体"/>
                <w:sz w:val="24"/>
              </w:rPr>
              <w:t>项  目</w:t>
            </w:r>
          </w:p>
        </w:tc>
        <w:tc>
          <w:tcPr>
            <w:tcW w:w="68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w:t>
            </w:r>
          </w:p>
        </w:tc>
        <w:tc>
          <w:tcPr>
            <w:tcW w:w="68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w:t>
            </w:r>
          </w:p>
        </w:tc>
        <w:tc>
          <w:tcPr>
            <w:tcW w:w="68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3</w:t>
            </w:r>
          </w:p>
        </w:tc>
        <w:tc>
          <w:tcPr>
            <w:tcW w:w="688"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w:t>
            </w:r>
          </w:p>
        </w:tc>
        <w:tc>
          <w:tcPr>
            <w:tcW w:w="68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5</w:t>
            </w:r>
          </w:p>
        </w:tc>
        <w:tc>
          <w:tcPr>
            <w:tcW w:w="68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6</w:t>
            </w:r>
          </w:p>
        </w:tc>
        <w:tc>
          <w:tcPr>
            <w:tcW w:w="688"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7</w:t>
            </w:r>
          </w:p>
        </w:tc>
        <w:tc>
          <w:tcPr>
            <w:tcW w:w="692"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8</w:t>
            </w:r>
          </w:p>
        </w:tc>
        <w:tc>
          <w:tcPr>
            <w:tcW w:w="68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9</w:t>
            </w:r>
          </w:p>
        </w:tc>
        <w:tc>
          <w:tcPr>
            <w:tcW w:w="688"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723" w:type="dxa"/>
            <w:vMerge w:val="restart"/>
            <w:tcBorders>
              <w:top w:val="nil"/>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回</w:t>
            </w:r>
          </w:p>
          <w:p>
            <w:pPr>
              <w:jc w:val="center"/>
              <w:rPr>
                <w:rFonts w:ascii="宋体" w:hAnsi="宋体"/>
                <w:sz w:val="24"/>
              </w:rPr>
            </w:pPr>
          </w:p>
          <w:p>
            <w:pPr>
              <w:jc w:val="center"/>
              <w:rPr>
                <w:rFonts w:ascii="宋体" w:hAnsi="宋体"/>
                <w:sz w:val="24"/>
              </w:rPr>
            </w:pPr>
            <w:r>
              <w:rPr>
                <w:rFonts w:hint="eastAsia" w:ascii="宋体" w:hAnsi="宋体"/>
                <w:sz w:val="24"/>
              </w:rPr>
              <w:t>弹</w:t>
            </w:r>
          </w:p>
          <w:p>
            <w:pPr>
              <w:jc w:val="center"/>
              <w:rPr>
                <w:rFonts w:ascii="宋体" w:hAnsi="宋体"/>
                <w:sz w:val="24"/>
              </w:rPr>
            </w:pPr>
          </w:p>
          <w:p>
            <w:pPr>
              <w:jc w:val="center"/>
              <w:rPr>
                <w:rFonts w:ascii="宋体" w:hAnsi="宋体"/>
                <w:sz w:val="24"/>
              </w:rPr>
            </w:pPr>
            <w:r>
              <w:rPr>
                <w:rFonts w:hint="eastAsia" w:ascii="宋体" w:hAnsi="宋体"/>
                <w:sz w:val="24"/>
              </w:rPr>
              <w:t>值</w:t>
            </w:r>
          </w:p>
          <w:p>
            <w:pPr>
              <w:jc w:val="center"/>
              <w:rPr>
                <w:rFonts w:ascii="宋体" w:hAnsi="宋体"/>
                <w:sz w:val="24"/>
              </w:rPr>
            </w:pPr>
            <w:r>
              <w:rPr>
                <w:rFonts w:hint="eastAsia" w:ascii="宋体" w:hAnsi="宋体"/>
                <w:sz w:val="24"/>
              </w:rPr>
              <w:t>(R</w:t>
            </w:r>
            <w:r>
              <w:rPr>
                <w:rFonts w:hint="eastAsia" w:ascii="宋体" w:hAnsi="宋体"/>
                <w:sz w:val="24"/>
                <w:vertAlign w:val="subscript"/>
              </w:rPr>
              <w:t>m</w:t>
            </w:r>
            <w:r>
              <w:rPr>
                <w:rFonts w:hint="eastAsia" w:ascii="宋体" w:hAnsi="宋体"/>
                <w:sz w:val="24"/>
              </w:rPr>
              <w:t>)</w:t>
            </w:r>
          </w:p>
        </w:tc>
        <w:tc>
          <w:tcPr>
            <w:tcW w:w="1886"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测区平均值</w:t>
            </w:r>
          </w:p>
        </w:tc>
        <w:tc>
          <w:tcPr>
            <w:tcW w:w="68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68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68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688"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68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68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688"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692"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68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688"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1886"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角度修正值</w:t>
            </w:r>
          </w:p>
        </w:tc>
        <w:tc>
          <w:tcPr>
            <w:tcW w:w="68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68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68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688"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68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68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688"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692"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68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688"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1886"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浇灌面修正值</w:t>
            </w:r>
          </w:p>
        </w:tc>
        <w:tc>
          <w:tcPr>
            <w:tcW w:w="68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68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68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688"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68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68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688"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692"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68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688"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1886"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修正后测区</w:t>
            </w:r>
          </w:p>
          <w:p>
            <w:pPr>
              <w:jc w:val="center"/>
              <w:rPr>
                <w:rFonts w:ascii="宋体" w:hAnsi="宋体"/>
                <w:sz w:val="24"/>
              </w:rPr>
            </w:pPr>
            <w:r>
              <w:rPr>
                <w:rFonts w:hint="eastAsia" w:ascii="宋体" w:hAnsi="宋体"/>
                <w:sz w:val="24"/>
              </w:rPr>
              <w:t>回弹值</w:t>
            </w:r>
          </w:p>
        </w:tc>
        <w:tc>
          <w:tcPr>
            <w:tcW w:w="68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68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68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688"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68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68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688"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692"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68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688"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260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平均碳化深度值</w:t>
            </w:r>
            <w:r>
              <w:rPr>
                <w:rFonts w:hint="eastAsia"/>
                <w:sz w:val="24"/>
              </w:rPr>
              <w:t>d</w:t>
            </w:r>
            <w:r>
              <w:rPr>
                <w:rFonts w:hint="eastAsia" w:ascii="宋体" w:hAnsi="宋体"/>
                <w:sz w:val="24"/>
                <w:vertAlign w:val="subscript"/>
              </w:rPr>
              <w:t>m</w:t>
            </w:r>
            <w:r>
              <w:rPr>
                <w:rFonts w:hint="eastAsia" w:ascii="宋体" w:hAnsi="宋体"/>
                <w:sz w:val="24"/>
              </w:rPr>
              <w:t>(mm)</w:t>
            </w:r>
          </w:p>
        </w:tc>
        <w:tc>
          <w:tcPr>
            <w:tcW w:w="6878" w:type="dxa"/>
            <w:gridSpan w:val="10"/>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w:t>
            </w:r>
            <w:r>
              <w:rPr>
                <w:rFonts w:ascii="宋体" w:hAnsi="宋体"/>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260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测区强度换算值</w:t>
            </w:r>
            <w:r>
              <w:rPr>
                <w:rFonts w:hint="eastAsia"/>
                <w:sz w:val="24"/>
              </w:rPr>
              <w:t>(MPa)</w:t>
            </w:r>
          </w:p>
        </w:tc>
        <w:tc>
          <w:tcPr>
            <w:tcW w:w="68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68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68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688"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68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68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688"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692"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68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688"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2" w:hRule="atLeast"/>
          <w:jc w:val="center"/>
        </w:trPr>
        <w:tc>
          <w:tcPr>
            <w:tcW w:w="9487" w:type="dxa"/>
            <w:gridSpan w:val="13"/>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使用测区强度换算表名称：□JGJ/T23-2011附录</w:t>
            </w:r>
            <w:r>
              <w:rPr>
                <w:rFonts w:hint="eastAsia"/>
                <w:sz w:val="24"/>
              </w:rPr>
              <w:t xml:space="preserve">A    </w:t>
            </w:r>
            <w:r>
              <w:rPr>
                <w:rFonts w:hint="eastAsia" w:ascii="宋体" w:hAnsi="宋体"/>
                <w:sz w:val="24"/>
              </w:rPr>
              <w:t>规程        地区       专用。</w:t>
            </w:r>
          </w:p>
          <w:p>
            <w:pPr>
              <w:ind w:left="2873" w:leftChars="1368"/>
              <w:rPr>
                <w:rFonts w:ascii="宋体" w:hAnsi="宋体"/>
                <w:sz w:val="24"/>
              </w:rPr>
            </w:pPr>
            <w:r>
              <w:rPr>
                <w:rFonts w:hint="eastAsia" w:ascii="宋体" w:hAnsi="宋体"/>
                <w:sz w:val="24"/>
              </w:rPr>
              <w:t>□JGJ/T23-2011附录</w:t>
            </w:r>
            <w:r>
              <w:rPr>
                <w:rFonts w:hint="eastAsia"/>
                <w:sz w:val="24"/>
              </w:rPr>
              <w:t xml:space="preserve">B    </w:t>
            </w:r>
            <w:r>
              <w:rPr>
                <w:rFonts w:hint="eastAsia" w:ascii="宋体" w:hAnsi="宋体"/>
                <w:sz w:val="24"/>
              </w:rPr>
              <w:t>规程        地区       专用。</w:t>
            </w:r>
          </w:p>
          <w:p>
            <w:pPr>
              <w:ind w:left="2873" w:leftChars="1368"/>
              <w:rPr>
                <w:rFonts w:ascii="宋体" w:hAnsi="宋体"/>
                <w:sz w:val="24"/>
              </w:rPr>
            </w:pPr>
            <w:r>
              <w:rPr>
                <w:rFonts w:hint="eastAsia" w:ascii="宋体" w:hAnsi="宋体"/>
                <w:sz w:val="24"/>
              </w:rPr>
              <w:t>□                      规程        地区       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864" w:type="dxa"/>
            <w:gridSpan w:val="2"/>
            <w:tcBorders>
              <w:top w:val="single" w:color="auto" w:sz="4" w:space="0"/>
              <w:left w:val="single" w:color="auto" w:sz="4" w:space="0"/>
              <w:bottom w:val="single" w:color="auto" w:sz="4" w:space="0"/>
              <w:right w:val="single" w:color="auto" w:sz="4" w:space="0"/>
            </w:tcBorders>
            <w:vAlign w:val="center"/>
          </w:tcPr>
          <w:p>
            <w:pPr>
              <w:ind w:left="-115" w:leftChars="-55" w:right="-107" w:rightChars="-51"/>
              <w:jc w:val="center"/>
              <w:rPr>
                <w:rFonts w:ascii="宋体" w:hAnsi="宋体"/>
                <w:sz w:val="24"/>
              </w:rPr>
            </w:pPr>
            <w:r>
              <w:rPr>
                <w:rFonts w:hint="eastAsia" w:ascii="宋体" w:hAnsi="宋体"/>
                <w:sz w:val="24"/>
              </w:rPr>
              <w:t>砼是否泵送</w:t>
            </w:r>
          </w:p>
        </w:tc>
        <w:tc>
          <w:tcPr>
            <w:tcW w:w="7623" w:type="dxa"/>
            <w:gridSpan w:val="11"/>
            <w:tcBorders>
              <w:top w:val="single" w:color="auto" w:sz="4" w:space="0"/>
              <w:left w:val="nil"/>
              <w:bottom w:val="single" w:color="auto" w:sz="4" w:space="0"/>
              <w:right w:val="single" w:color="auto" w:sz="4" w:space="0"/>
            </w:tcBorders>
            <w:vAlign w:val="center"/>
          </w:tcPr>
          <w:p>
            <w:pPr>
              <w:ind w:left="360"/>
              <w:rPr>
                <w:rFonts w:ascii="宋体" w:hAnsi="宋体"/>
                <w:sz w:val="24"/>
              </w:rPr>
            </w:pPr>
            <w:r>
              <w:rPr>
                <w:rFonts w:hint="eastAsia" w:ascii="宋体" w:hAnsi="宋体"/>
                <w:sz w:val="24"/>
              </w:rPr>
              <w:t>□泵送    □非泵送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8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备    注</w:t>
            </w:r>
          </w:p>
        </w:tc>
        <w:tc>
          <w:tcPr>
            <w:tcW w:w="7623" w:type="dxa"/>
            <w:gridSpan w:val="11"/>
            <w:tcBorders>
              <w:top w:val="single" w:color="auto" w:sz="4" w:space="0"/>
              <w:left w:val="nil"/>
              <w:bottom w:val="single" w:color="auto" w:sz="4" w:space="0"/>
              <w:right w:val="single" w:color="auto" w:sz="4" w:space="0"/>
            </w:tcBorders>
            <w:vAlign w:val="center"/>
          </w:tcPr>
          <w:p>
            <w:pPr>
              <w:jc w:val="center"/>
              <w:rPr>
                <w:rFonts w:ascii="宋体" w:hAnsi="宋体"/>
                <w:sz w:val="24"/>
              </w:rPr>
            </w:pPr>
          </w:p>
        </w:tc>
      </w:tr>
    </w:tbl>
    <w:p>
      <w:pPr>
        <w:ind w:firstLine="480" w:firstLineChars="200"/>
        <w:rPr>
          <w:szCs w:val="21"/>
        </w:rPr>
      </w:pPr>
      <w:r>
        <w:rPr>
          <w:rFonts w:hint="eastAsia" w:ascii="宋体" w:hAnsi="宋体"/>
          <w:sz w:val="24"/>
        </w:rPr>
        <w:t>计算：</w:t>
      </w:r>
      <w:r>
        <w:rPr>
          <w:sz w:val="24"/>
        </w:rPr>
        <w:t xml:space="preserve">          </w:t>
      </w:r>
      <w:r>
        <w:rPr>
          <w:rFonts w:hint="eastAsia" w:ascii="宋体" w:hAnsi="宋体"/>
          <w:sz w:val="24"/>
        </w:rPr>
        <w:t xml:space="preserve">     </w:t>
      </w:r>
      <w:r>
        <w:rPr>
          <w:sz w:val="24"/>
        </w:rPr>
        <w:t xml:space="preserve">  </w:t>
      </w:r>
      <w:r>
        <w:rPr>
          <w:rFonts w:hint="eastAsia" w:ascii="宋体" w:hAnsi="宋体"/>
          <w:sz w:val="24"/>
        </w:rPr>
        <w:t xml:space="preserve">          </w:t>
      </w:r>
      <w:r>
        <w:rPr>
          <w:sz w:val="24"/>
        </w:rPr>
        <w:t xml:space="preserve"> </w:t>
      </w:r>
      <w:r>
        <w:rPr>
          <w:rFonts w:hint="eastAsia" w:ascii="宋体" w:hAnsi="宋体"/>
          <w:sz w:val="24"/>
        </w:rPr>
        <w:t>校核：</w:t>
      </w:r>
    </w:p>
    <w:p>
      <w:pPr>
        <w:tabs>
          <w:tab w:val="left" w:pos="945"/>
        </w:tabs>
        <w:ind w:firstLine="240" w:firstLineChars="100"/>
        <w:jc w:val="left"/>
        <w:rPr>
          <w:sz w:val="30"/>
          <w:szCs w:val="30"/>
        </w:rPr>
        <w:sectPr>
          <w:pgSz w:w="11906" w:h="16838"/>
          <w:pgMar w:top="1134" w:right="907" w:bottom="1134" w:left="907" w:header="851" w:footer="992" w:gutter="0"/>
          <w:pgNumType w:fmt="numberInDash" w:chapStyle="1"/>
          <w:cols w:space="720" w:num="1"/>
          <w:docGrid w:type="lines" w:linePitch="312" w:charSpace="0"/>
        </w:sectPr>
      </w:pPr>
      <w:r>
        <w:rPr>
          <w:sz w:val="24"/>
          <w:szCs w:val="21"/>
        </w:rPr>
        <w:tab/>
      </w:r>
      <w:r>
        <w:rPr>
          <w:sz w:val="30"/>
          <w:szCs w:val="30"/>
        </w:rPr>
        <w:tab/>
      </w:r>
    </w:p>
    <w:p>
      <w:pPr>
        <w:spacing w:line="520" w:lineRule="exact"/>
        <w:rPr>
          <w:sz w:val="30"/>
          <w:szCs w:val="30"/>
        </w:rPr>
      </w:pPr>
      <w:r>
        <w:rPr>
          <w:rFonts w:hint="eastAsia" w:ascii="Times New Roman" w:hAnsi="Times New Roman" w:eastAsia="方正仿宋_GBK"/>
          <w:sz w:val="32"/>
          <w:szCs w:val="22"/>
        </w:rPr>
        <w:t>附表</w:t>
      </w:r>
      <w:r>
        <w:rPr>
          <w:rFonts w:ascii="Times New Roman" w:hAnsi="Times New Roman" w:eastAsia="方正仿宋_GBK"/>
          <w:sz w:val="32"/>
          <w:szCs w:val="22"/>
        </w:rPr>
        <w:t>3</w:t>
      </w:r>
      <w:r>
        <w:rPr>
          <w:sz w:val="30"/>
          <w:szCs w:val="30"/>
        </w:rPr>
        <w:t xml:space="preserve"> </w:t>
      </w:r>
      <w:r>
        <w:rPr>
          <w:kern w:val="0"/>
        </w:rPr>
        <w:t xml:space="preserve"> </w:t>
      </w:r>
      <w:r>
        <w:rPr>
          <w:sz w:val="30"/>
          <w:szCs w:val="30"/>
        </w:rPr>
        <w:t xml:space="preserve">  </w:t>
      </w:r>
    </w:p>
    <w:p>
      <w:pPr>
        <w:jc w:val="center"/>
        <w:rPr>
          <w:b/>
          <w:sz w:val="36"/>
          <w:szCs w:val="36"/>
          <w:u w:val="single"/>
        </w:rPr>
      </w:pPr>
      <w:r>
        <w:rPr>
          <w:rFonts w:hint="eastAsia"/>
          <w:b/>
          <w:bCs/>
          <w:sz w:val="36"/>
          <w:szCs w:val="36"/>
        </w:rPr>
        <w:t>回弹法检测构件混凝土强度能力验证结果报告单</w:t>
      </w:r>
    </w:p>
    <w:p>
      <w:pPr>
        <w:spacing w:line="180" w:lineRule="exact"/>
        <w:rPr>
          <w:b/>
          <w:bCs/>
          <w:sz w:val="30"/>
          <w:szCs w:val="30"/>
        </w:rPr>
      </w:pPr>
      <w:r>
        <w:rPr>
          <w:b/>
          <w:bCs/>
          <w:sz w:val="30"/>
          <w:szCs w:val="30"/>
        </w:rPr>
        <w:t xml:space="preserve">                                                    </w:t>
      </w:r>
    </w:p>
    <w:tbl>
      <w:tblPr>
        <w:tblStyle w:val="8"/>
        <w:tblW w:w="1303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05"/>
        <w:gridCol w:w="187"/>
        <w:gridCol w:w="2081"/>
        <w:gridCol w:w="2313"/>
        <w:gridCol w:w="2127"/>
        <w:gridCol w:w="39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259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检测机构名称</w:t>
            </w:r>
          </w:p>
        </w:tc>
        <w:tc>
          <w:tcPr>
            <w:tcW w:w="1044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259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检测区编号</w:t>
            </w:r>
          </w:p>
        </w:tc>
        <w:tc>
          <w:tcPr>
            <w:tcW w:w="439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检 测 日 期</w:t>
            </w:r>
          </w:p>
        </w:tc>
        <w:tc>
          <w:tcPr>
            <w:tcW w:w="39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259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计算开始时间</w:t>
            </w:r>
          </w:p>
        </w:tc>
        <w:tc>
          <w:tcPr>
            <w:tcW w:w="439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sz w:val="28"/>
                <w:szCs w:val="21"/>
              </w:rPr>
              <w:t xml:space="preserve">       </w:t>
            </w: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计算结束时间</w:t>
            </w:r>
          </w:p>
        </w:tc>
        <w:tc>
          <w:tcPr>
            <w:tcW w:w="39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sz w:val="28"/>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69" w:hRule="atLeast"/>
          <w:jc w:val="center"/>
        </w:trPr>
        <w:tc>
          <w:tcPr>
            <w:tcW w:w="698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测区混凝土抗压强度</w:t>
            </w:r>
          </w:p>
          <w:p>
            <w:pPr>
              <w:adjustRightInd w:val="0"/>
              <w:snapToGrid w:val="0"/>
              <w:jc w:val="center"/>
              <w:rPr>
                <w:rFonts w:ascii="宋体" w:hAnsi="宋体"/>
                <w:sz w:val="24"/>
              </w:rPr>
            </w:pPr>
            <w:r>
              <w:rPr>
                <w:rFonts w:hint="eastAsia" w:ascii="宋体" w:hAnsi="宋体"/>
                <w:sz w:val="24"/>
              </w:rPr>
              <w:t>换算值(MPa)</w:t>
            </w:r>
          </w:p>
        </w:tc>
        <w:tc>
          <w:tcPr>
            <w:tcW w:w="212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构件现龄期混凝土抗压强度推定值(MPa)</w:t>
            </w:r>
          </w:p>
        </w:tc>
        <w:tc>
          <w:tcPr>
            <w:tcW w:w="39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84" w:hRule="atLeast"/>
          <w:jc w:val="center"/>
        </w:trPr>
        <w:tc>
          <w:tcPr>
            <w:tcW w:w="24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24"/>
              </w:rPr>
            </w:pPr>
            <w:r>
              <w:rPr>
                <w:rFonts w:hint="eastAsia" w:ascii="宋体" w:hAnsi="宋体"/>
                <w:color w:val="000000"/>
                <w:sz w:val="24"/>
              </w:rPr>
              <w:t xml:space="preserve"> </w:t>
            </w:r>
          </w:p>
          <w:p>
            <w:pPr>
              <w:adjustRightInd w:val="0"/>
              <w:snapToGrid w:val="0"/>
              <w:jc w:val="center"/>
              <w:rPr>
                <w:rFonts w:ascii="宋体" w:hAnsi="宋体"/>
                <w:sz w:val="24"/>
              </w:rPr>
            </w:pPr>
            <w:r>
              <w:rPr>
                <w:rFonts w:hint="eastAsia" w:ascii="宋体" w:hAnsi="宋体"/>
                <w:sz w:val="24"/>
              </w:rPr>
              <w:t>平均值</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标准差</w:t>
            </w:r>
          </w:p>
        </w:tc>
        <w:tc>
          <w:tcPr>
            <w:tcW w:w="23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最小值</w:t>
            </w: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3923"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9" w:hRule="atLeast"/>
          <w:jc w:val="center"/>
        </w:trPr>
        <w:tc>
          <w:tcPr>
            <w:tcW w:w="24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sz w:val="24"/>
              </w:rPr>
            </w:pPr>
          </w:p>
        </w:tc>
        <w:tc>
          <w:tcPr>
            <w:tcW w:w="23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sz w:val="24"/>
              </w:rPr>
            </w:pP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sz w:val="24"/>
              </w:rPr>
            </w:pPr>
          </w:p>
        </w:tc>
        <w:tc>
          <w:tcPr>
            <w:tcW w:w="3923"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sz w:val="24"/>
              </w:rPr>
            </w:pPr>
          </w:p>
        </w:tc>
      </w:tr>
    </w:tbl>
    <w:p>
      <w:pPr>
        <w:adjustRightInd w:val="0"/>
        <w:snapToGrid w:val="0"/>
        <w:spacing w:line="360" w:lineRule="auto"/>
        <w:rPr>
          <w:sz w:val="24"/>
          <w:szCs w:val="21"/>
        </w:rPr>
      </w:pPr>
      <w:r>
        <w:rPr>
          <w:rFonts w:hint="eastAsia"/>
          <w:sz w:val="24"/>
          <w:szCs w:val="21"/>
        </w:rPr>
        <w:t xml:space="preserve">             </w:t>
      </w:r>
    </w:p>
    <w:p>
      <w:pPr>
        <w:adjustRightInd w:val="0"/>
        <w:snapToGrid w:val="0"/>
        <w:spacing w:line="360" w:lineRule="auto"/>
        <w:ind w:firstLine="1440" w:firstLineChars="600"/>
        <w:rPr>
          <w:sz w:val="24"/>
          <w:szCs w:val="21"/>
        </w:rPr>
      </w:pPr>
      <w:r>
        <w:rPr>
          <w:rFonts w:hint="eastAsia"/>
          <w:sz w:val="24"/>
          <w:szCs w:val="21"/>
        </w:rPr>
        <w:t xml:space="preserve">检测： </w:t>
      </w:r>
      <w:r>
        <w:rPr>
          <w:sz w:val="24"/>
          <w:szCs w:val="21"/>
        </w:rPr>
        <w:t xml:space="preserve">                                              </w:t>
      </w:r>
      <w:r>
        <w:rPr>
          <w:rFonts w:hint="eastAsia"/>
          <w:sz w:val="24"/>
          <w:szCs w:val="21"/>
        </w:rPr>
        <w:t>批准：</w:t>
      </w:r>
    </w:p>
    <w:p>
      <w:pPr>
        <w:spacing w:line="360" w:lineRule="auto"/>
        <w:ind w:firstLine="1440" w:firstLineChars="600"/>
        <w:rPr>
          <w:rFonts w:ascii="Times New Roman" w:hAnsi="Times New Roman" w:eastAsia="方正仿宋_GBK"/>
          <w:sz w:val="32"/>
          <w:szCs w:val="22"/>
        </w:rPr>
      </w:pPr>
      <w:r>
        <w:rPr>
          <w:rFonts w:hint="eastAsia"/>
          <w:sz w:val="24"/>
          <w:szCs w:val="21"/>
        </w:rPr>
        <w:t>监督：</w:t>
      </w:r>
    </w:p>
    <w:p>
      <w:pPr>
        <w:adjustRightInd w:val="0"/>
        <w:snapToGrid w:val="0"/>
        <w:contextualSpacing/>
        <w:jc w:val="left"/>
        <w:rPr>
          <w:sz w:val="24"/>
          <w:szCs w:val="21"/>
        </w:rPr>
      </w:pPr>
    </w:p>
    <w:p>
      <w:pPr>
        <w:adjustRightInd w:val="0"/>
        <w:snapToGrid w:val="0"/>
        <w:contextualSpacing/>
        <w:jc w:val="left"/>
        <w:rPr>
          <w:sz w:val="24"/>
          <w:szCs w:val="21"/>
        </w:rPr>
      </w:pPr>
    </w:p>
    <w:p>
      <w:pPr>
        <w:adjustRightInd w:val="0"/>
        <w:snapToGrid w:val="0"/>
        <w:contextualSpacing/>
        <w:jc w:val="left"/>
        <w:rPr>
          <w:sz w:val="30"/>
          <w:szCs w:val="30"/>
        </w:rPr>
      </w:pPr>
    </w:p>
    <w:p>
      <w:pPr>
        <w:adjustRightInd w:val="0"/>
        <w:snapToGrid w:val="0"/>
        <w:contextualSpacing/>
        <w:jc w:val="left"/>
        <w:rPr>
          <w:sz w:val="30"/>
          <w:szCs w:val="30"/>
        </w:rPr>
      </w:pPr>
      <w:bookmarkStart w:id="0" w:name="_GoBack"/>
      <w:bookmarkEnd w:id="0"/>
    </w:p>
    <w:sectPr>
      <w:pgSz w:w="16838" w:h="11906" w:orient="landscape"/>
      <w:pgMar w:top="1134" w:right="851" w:bottom="1134" w:left="851" w:header="851" w:footer="992" w:gutter="0"/>
      <w:pgNumType w:fmt="numberInDash" w:chapStyle="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PMingLiU">
    <w:panose1 w:val="02020500000000000000"/>
    <w:charset w:val="88"/>
    <w:family w:val="roman"/>
    <w:pitch w:val="default"/>
    <w:sig w:usb0="A00002FF" w:usb1="28CFFCFA" w:usb2="00000016" w:usb3="00000000" w:csb0="00100001" w:csb1="00000000"/>
  </w:font>
  <w:font w:name="方正仿宋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script"/>
    <w:pitch w:val="default"/>
    <w:sig w:usb0="A00002BF" w:usb1="38CF7CFA" w:usb2="00082016" w:usb3="00000000" w:csb0="00040001" w:csb1="00000000"/>
  </w:font>
  <w:font w:name="方正黑体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5181012"/>
      <w:docPartObj>
        <w:docPartGallery w:val="autotext"/>
      </w:docPartObj>
    </w:sdtPr>
    <w:sdtEndPr>
      <w:rPr>
        <w:sz w:val="21"/>
        <w:szCs w:val="21"/>
      </w:rPr>
    </w:sdtEndPr>
    <w:sdtContent>
      <w:p>
        <w:pPr>
          <w:pStyle w:val="5"/>
          <w:jc w:val="right"/>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w:t>
        </w:r>
        <w:r>
          <w:rPr>
            <w:sz w:val="21"/>
            <w:szCs w:val="21"/>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5258123"/>
      <w:docPartObj>
        <w:docPartGallery w:val="autotext"/>
      </w:docPartObj>
    </w:sdtPr>
    <w:sdtEndPr>
      <w:rPr>
        <w:sz w:val="21"/>
        <w:szCs w:val="21"/>
      </w:rPr>
    </w:sdtEndPr>
    <w:sdtContent>
      <w:p>
        <w:pPr>
          <w:pStyle w:val="5"/>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w:t>
        </w:r>
        <w:r>
          <w:rPr>
            <w:sz w:val="21"/>
            <w:szCs w:val="21"/>
          </w:rPr>
          <w:fldChar w:fldCharType="end"/>
        </w:r>
      </w:p>
    </w:sdtContent>
  </w:sdt>
  <w:p>
    <w:pPr>
      <w:pStyle w:val="5"/>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3B6"/>
    <w:rsid w:val="000072BA"/>
    <w:rsid w:val="00011022"/>
    <w:rsid w:val="00016DA4"/>
    <w:rsid w:val="00037AB7"/>
    <w:rsid w:val="00042D13"/>
    <w:rsid w:val="000539C0"/>
    <w:rsid w:val="0006175E"/>
    <w:rsid w:val="0007196A"/>
    <w:rsid w:val="000831D6"/>
    <w:rsid w:val="00084563"/>
    <w:rsid w:val="000A2937"/>
    <w:rsid w:val="000C2ED1"/>
    <w:rsid w:val="000E470C"/>
    <w:rsid w:val="0010570F"/>
    <w:rsid w:val="00110B02"/>
    <w:rsid w:val="00125DA6"/>
    <w:rsid w:val="00145114"/>
    <w:rsid w:val="0015105F"/>
    <w:rsid w:val="00156B1E"/>
    <w:rsid w:val="00163469"/>
    <w:rsid w:val="00163718"/>
    <w:rsid w:val="001713C6"/>
    <w:rsid w:val="00177CCD"/>
    <w:rsid w:val="001F04F0"/>
    <w:rsid w:val="001F72EB"/>
    <w:rsid w:val="00200454"/>
    <w:rsid w:val="00214640"/>
    <w:rsid w:val="0024267B"/>
    <w:rsid w:val="00247416"/>
    <w:rsid w:val="002606EE"/>
    <w:rsid w:val="002669A8"/>
    <w:rsid w:val="00286D35"/>
    <w:rsid w:val="002973B6"/>
    <w:rsid w:val="002D1D91"/>
    <w:rsid w:val="002D608F"/>
    <w:rsid w:val="0030091E"/>
    <w:rsid w:val="00303BA6"/>
    <w:rsid w:val="00304A50"/>
    <w:rsid w:val="0033280C"/>
    <w:rsid w:val="00353F57"/>
    <w:rsid w:val="003541F6"/>
    <w:rsid w:val="0035762B"/>
    <w:rsid w:val="00371C6E"/>
    <w:rsid w:val="00374714"/>
    <w:rsid w:val="003933E8"/>
    <w:rsid w:val="003A42EC"/>
    <w:rsid w:val="003C1DD9"/>
    <w:rsid w:val="003C21B3"/>
    <w:rsid w:val="0040135D"/>
    <w:rsid w:val="00413581"/>
    <w:rsid w:val="00433EDF"/>
    <w:rsid w:val="00446EB5"/>
    <w:rsid w:val="00485E1B"/>
    <w:rsid w:val="004962FB"/>
    <w:rsid w:val="004B3848"/>
    <w:rsid w:val="004D5809"/>
    <w:rsid w:val="00525B05"/>
    <w:rsid w:val="0055078C"/>
    <w:rsid w:val="00562CB6"/>
    <w:rsid w:val="00566BB4"/>
    <w:rsid w:val="00572ADD"/>
    <w:rsid w:val="00581423"/>
    <w:rsid w:val="00583632"/>
    <w:rsid w:val="00583F6E"/>
    <w:rsid w:val="0058556D"/>
    <w:rsid w:val="005920FB"/>
    <w:rsid w:val="00593518"/>
    <w:rsid w:val="005C7EEE"/>
    <w:rsid w:val="005F2F66"/>
    <w:rsid w:val="00620825"/>
    <w:rsid w:val="00621CCF"/>
    <w:rsid w:val="00661E42"/>
    <w:rsid w:val="006707DB"/>
    <w:rsid w:val="006F14A5"/>
    <w:rsid w:val="00701400"/>
    <w:rsid w:val="00713491"/>
    <w:rsid w:val="00793D36"/>
    <w:rsid w:val="007E4054"/>
    <w:rsid w:val="007F7A23"/>
    <w:rsid w:val="008131A9"/>
    <w:rsid w:val="00813AB7"/>
    <w:rsid w:val="008A5C35"/>
    <w:rsid w:val="008D2A7B"/>
    <w:rsid w:val="0090085F"/>
    <w:rsid w:val="009133E5"/>
    <w:rsid w:val="0094561E"/>
    <w:rsid w:val="00952BF8"/>
    <w:rsid w:val="0097065F"/>
    <w:rsid w:val="00976852"/>
    <w:rsid w:val="00997E85"/>
    <w:rsid w:val="00997F01"/>
    <w:rsid w:val="009B2B47"/>
    <w:rsid w:val="009B7B57"/>
    <w:rsid w:val="009E12A3"/>
    <w:rsid w:val="009E6ED8"/>
    <w:rsid w:val="00A23EED"/>
    <w:rsid w:val="00A40E42"/>
    <w:rsid w:val="00A44A48"/>
    <w:rsid w:val="00A47BF6"/>
    <w:rsid w:val="00A63753"/>
    <w:rsid w:val="00A71D6C"/>
    <w:rsid w:val="00A82CC8"/>
    <w:rsid w:val="00A84158"/>
    <w:rsid w:val="00AA4E86"/>
    <w:rsid w:val="00AB15C0"/>
    <w:rsid w:val="00B018EF"/>
    <w:rsid w:val="00B028B9"/>
    <w:rsid w:val="00B2572A"/>
    <w:rsid w:val="00B27AE3"/>
    <w:rsid w:val="00B65898"/>
    <w:rsid w:val="00BA0DB8"/>
    <w:rsid w:val="00BC6E2B"/>
    <w:rsid w:val="00BF38F2"/>
    <w:rsid w:val="00C1084C"/>
    <w:rsid w:val="00C112A0"/>
    <w:rsid w:val="00C16B17"/>
    <w:rsid w:val="00C25839"/>
    <w:rsid w:val="00C27818"/>
    <w:rsid w:val="00C33A00"/>
    <w:rsid w:val="00C34730"/>
    <w:rsid w:val="00C5554B"/>
    <w:rsid w:val="00C62E2F"/>
    <w:rsid w:val="00C858A6"/>
    <w:rsid w:val="00CA3BBC"/>
    <w:rsid w:val="00CB2752"/>
    <w:rsid w:val="00CC05BB"/>
    <w:rsid w:val="00CC6A8A"/>
    <w:rsid w:val="00CE1C57"/>
    <w:rsid w:val="00CE2A5D"/>
    <w:rsid w:val="00D0634F"/>
    <w:rsid w:val="00D10A93"/>
    <w:rsid w:val="00D352C6"/>
    <w:rsid w:val="00D447C7"/>
    <w:rsid w:val="00D576B9"/>
    <w:rsid w:val="00D77C2B"/>
    <w:rsid w:val="00D8111D"/>
    <w:rsid w:val="00D866A3"/>
    <w:rsid w:val="00D91BA4"/>
    <w:rsid w:val="00DA37BF"/>
    <w:rsid w:val="00DB785A"/>
    <w:rsid w:val="00DC0E4E"/>
    <w:rsid w:val="00E31AFC"/>
    <w:rsid w:val="00E54C5E"/>
    <w:rsid w:val="00E72967"/>
    <w:rsid w:val="00E94524"/>
    <w:rsid w:val="00ED1390"/>
    <w:rsid w:val="00EE3887"/>
    <w:rsid w:val="00EF55FE"/>
    <w:rsid w:val="00F03EDC"/>
    <w:rsid w:val="00F06A40"/>
    <w:rsid w:val="00F24EBF"/>
    <w:rsid w:val="00F3423D"/>
    <w:rsid w:val="00F57698"/>
    <w:rsid w:val="00FA4514"/>
    <w:rsid w:val="00FB2DFD"/>
    <w:rsid w:val="00FB4FCF"/>
    <w:rsid w:val="00FC3907"/>
    <w:rsid w:val="2ABA6670"/>
    <w:rsid w:val="7CE44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47"/>
    <w:semiHidden/>
    <w:unhideWhenUsed/>
    <w:qFormat/>
    <w:uiPriority w:val="99"/>
    <w:pPr>
      <w:jc w:val="left"/>
    </w:pPr>
    <w:rPr>
      <w:rFonts w:ascii="Times New Roman" w:hAnsi="Times New Roman"/>
      <w:szCs w:val="22"/>
    </w:rPr>
  </w:style>
  <w:style w:type="paragraph" w:styleId="3">
    <w:name w:val="Date"/>
    <w:basedOn w:val="1"/>
    <w:next w:val="1"/>
    <w:link w:val="20"/>
    <w:semiHidden/>
    <w:unhideWhenUsed/>
    <w:qFormat/>
    <w:uiPriority w:val="99"/>
    <w:pPr>
      <w:ind w:left="100" w:leftChars="2500"/>
    </w:pPr>
  </w:style>
  <w:style w:type="paragraph" w:styleId="4">
    <w:name w:val="Balloon Text"/>
    <w:basedOn w:val="1"/>
    <w:link w:val="51"/>
    <w:semiHidden/>
    <w:unhideWhenUsed/>
    <w:qFormat/>
    <w:uiPriority w:val="99"/>
    <w:rPr>
      <w:rFonts w:ascii="Times New Roman" w:hAnsi="Times New Roman"/>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49"/>
    <w:semiHidden/>
    <w:unhideWhenUsed/>
    <w:qFormat/>
    <w:uiPriority w:val="99"/>
    <w:rPr>
      <w:b/>
      <w:bCs/>
    </w:rPr>
  </w:style>
  <w:style w:type="table" w:styleId="9">
    <w:name w:val="Table Grid"/>
    <w:basedOn w:val="8"/>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FollowedHyperlink"/>
    <w:basedOn w:val="10"/>
    <w:semiHidden/>
    <w:unhideWhenUsed/>
    <w:qFormat/>
    <w:uiPriority w:val="99"/>
    <w:rPr>
      <w:color w:val="954F72"/>
      <w:u w:val="single"/>
    </w:rPr>
  </w:style>
  <w:style w:type="character" w:styleId="13">
    <w:name w:val="Emphasis"/>
    <w:basedOn w:val="10"/>
    <w:qFormat/>
    <w:uiPriority w:val="20"/>
    <w:rPr>
      <w:i/>
      <w:iCs/>
    </w:rPr>
  </w:style>
  <w:style w:type="character" w:styleId="14">
    <w:name w:val="Hyperlink"/>
    <w:basedOn w:val="10"/>
    <w:qFormat/>
    <w:uiPriority w:val="99"/>
    <w:rPr>
      <w:color w:val="0000FF"/>
      <w:u w:val="single"/>
    </w:rPr>
  </w:style>
  <w:style w:type="character" w:styleId="15">
    <w:name w:val="annotation reference"/>
    <w:semiHidden/>
    <w:unhideWhenUsed/>
    <w:qFormat/>
    <w:uiPriority w:val="99"/>
    <w:rPr>
      <w:sz w:val="21"/>
      <w:szCs w:val="21"/>
    </w:rPr>
  </w:style>
  <w:style w:type="character" w:customStyle="1" w:styleId="16">
    <w:name w:val="页眉 字符"/>
    <w:basedOn w:val="10"/>
    <w:link w:val="6"/>
    <w:qFormat/>
    <w:uiPriority w:val="0"/>
    <w:rPr>
      <w:rFonts w:ascii="Calibri" w:hAnsi="Calibri" w:eastAsia="宋体" w:cs="Times New Roman"/>
      <w:sz w:val="18"/>
      <w:szCs w:val="18"/>
    </w:rPr>
  </w:style>
  <w:style w:type="character" w:customStyle="1" w:styleId="17">
    <w:name w:val="页脚 字符"/>
    <w:basedOn w:val="10"/>
    <w:link w:val="5"/>
    <w:qFormat/>
    <w:uiPriority w:val="99"/>
    <w:rPr>
      <w:rFonts w:ascii="Calibri" w:hAnsi="Calibri" w:eastAsia="宋体" w:cs="Times New Roman"/>
      <w:sz w:val="18"/>
      <w:szCs w:val="18"/>
    </w:rPr>
  </w:style>
  <w:style w:type="paragraph" w:customStyle="1" w:styleId="18">
    <w:name w:val="MSG_EN_FONT_STYLE_NAME_TEMPLATE_ROLE_NUMBER MSG_EN_FONT_STYLE_NAME_BY_ROLE_TEXT 21"/>
    <w:basedOn w:val="1"/>
    <w:qFormat/>
    <w:uiPriority w:val="99"/>
    <w:pPr>
      <w:shd w:val="clear" w:color="auto" w:fill="FFFFFF"/>
      <w:spacing w:line="461" w:lineRule="exact"/>
      <w:jc w:val="distribute"/>
    </w:pPr>
    <w:rPr>
      <w:rFonts w:ascii="PMingLiU" w:eastAsia="PMingLiU" w:cs="PMingLiU"/>
      <w:kern w:val="0"/>
      <w:sz w:val="20"/>
      <w:szCs w:val="20"/>
    </w:rPr>
  </w:style>
  <w:style w:type="paragraph" w:styleId="19">
    <w:name w:val="List Paragraph"/>
    <w:basedOn w:val="1"/>
    <w:qFormat/>
    <w:uiPriority w:val="34"/>
    <w:pPr>
      <w:ind w:firstLine="420" w:firstLineChars="200"/>
    </w:pPr>
  </w:style>
  <w:style w:type="character" w:customStyle="1" w:styleId="20">
    <w:name w:val="日期 字符"/>
    <w:basedOn w:val="10"/>
    <w:link w:val="3"/>
    <w:semiHidden/>
    <w:qFormat/>
    <w:uiPriority w:val="99"/>
    <w:rPr>
      <w:rFonts w:ascii="Calibri" w:hAnsi="Calibri" w:eastAsia="宋体" w:cs="Times New Roman"/>
      <w:szCs w:val="24"/>
    </w:rPr>
  </w:style>
  <w:style w:type="paragraph" w:customStyle="1" w:styleId="21">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22">
    <w:name w:val="font5"/>
    <w:basedOn w:val="1"/>
    <w:qFormat/>
    <w:uiPriority w:val="0"/>
    <w:pPr>
      <w:widowControl/>
      <w:spacing w:before="100" w:beforeAutospacing="1" w:after="100" w:afterAutospacing="1"/>
      <w:jc w:val="left"/>
    </w:pPr>
    <w:rPr>
      <w:rFonts w:ascii="方正仿宋_GBK" w:hAnsi="宋体" w:eastAsia="方正仿宋_GBK" w:cs="宋体"/>
      <w:color w:val="000000"/>
      <w:kern w:val="0"/>
      <w:sz w:val="24"/>
    </w:rPr>
  </w:style>
  <w:style w:type="paragraph" w:customStyle="1" w:styleId="23">
    <w:name w:val="font6"/>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2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5">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eastAsia="方正仿宋_GBK" w:cs="宋体"/>
      <w:kern w:val="0"/>
      <w:sz w:val="24"/>
    </w:rPr>
  </w:style>
  <w:style w:type="paragraph" w:customStyle="1" w:styleId="2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方正仿宋_GBK" w:hAnsi="宋体" w:eastAsia="方正仿宋_GBK" w:cs="宋体"/>
      <w:kern w:val="0"/>
      <w:sz w:val="24"/>
    </w:rPr>
  </w:style>
  <w:style w:type="paragraph" w:customStyle="1" w:styleId="2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方正仿宋_GBK" w:hAnsi="宋体" w:eastAsia="方正仿宋_GBK" w:cs="宋体"/>
      <w:kern w:val="0"/>
      <w:sz w:val="24"/>
    </w:rPr>
  </w:style>
  <w:style w:type="paragraph" w:customStyle="1" w:styleId="2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9">
    <w:name w:val="xl69"/>
    <w:basedOn w:val="1"/>
    <w:qFormat/>
    <w:uiPriority w:val="0"/>
    <w:pPr>
      <w:widowControl/>
      <w:spacing w:before="100" w:beforeAutospacing="1" w:after="100" w:afterAutospacing="1"/>
      <w:jc w:val="center"/>
    </w:pPr>
    <w:rPr>
      <w:rFonts w:ascii="宋体" w:hAnsi="宋体" w:cs="宋体"/>
      <w:kern w:val="0"/>
      <w:sz w:val="24"/>
    </w:rPr>
  </w:style>
  <w:style w:type="paragraph" w:customStyle="1" w:styleId="3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rPr>
  </w:style>
  <w:style w:type="paragraph" w:customStyle="1" w:styleId="3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eastAsia="方正仿宋_GBK" w:cs="宋体"/>
      <w:kern w:val="0"/>
      <w:sz w:val="24"/>
    </w:rPr>
  </w:style>
  <w:style w:type="paragraph" w:customStyle="1" w:styleId="32">
    <w:name w:val="xl72"/>
    <w:basedOn w:val="1"/>
    <w:qFormat/>
    <w:uiPriority w:val="0"/>
    <w:pPr>
      <w:widowControl/>
      <w:spacing w:before="100" w:beforeAutospacing="1" w:after="100" w:afterAutospacing="1"/>
      <w:jc w:val="center"/>
    </w:pPr>
    <w:rPr>
      <w:rFonts w:ascii="方正仿宋_GBK" w:hAnsi="宋体" w:eastAsia="方正仿宋_GBK" w:cs="宋体"/>
      <w:kern w:val="0"/>
      <w:sz w:val="24"/>
    </w:rPr>
  </w:style>
  <w:style w:type="paragraph" w:customStyle="1" w:styleId="33">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rPr>
  </w:style>
  <w:style w:type="paragraph" w:customStyle="1" w:styleId="34">
    <w:name w:val="xl74"/>
    <w:basedOn w:val="1"/>
    <w:qFormat/>
    <w:uiPriority w:val="0"/>
    <w:pPr>
      <w:widowControl/>
      <w:spacing w:before="100" w:beforeAutospacing="1" w:after="100" w:afterAutospacing="1"/>
      <w:jc w:val="center"/>
    </w:pPr>
    <w:rPr>
      <w:rFonts w:ascii="Times New Roman" w:hAnsi="Times New Roman"/>
      <w:kern w:val="0"/>
      <w:sz w:val="24"/>
    </w:rPr>
  </w:style>
  <w:style w:type="paragraph" w:customStyle="1" w:styleId="35">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pPr>
    <w:rPr>
      <w:rFonts w:ascii="方正仿宋_GBK" w:hAnsi="宋体" w:eastAsia="方正仿宋_GBK" w:cs="宋体"/>
      <w:kern w:val="0"/>
      <w:sz w:val="24"/>
    </w:rPr>
  </w:style>
  <w:style w:type="paragraph" w:customStyle="1" w:styleId="36">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方正仿宋_GBK" w:hAnsi="宋体" w:eastAsia="方正仿宋_GBK" w:cs="宋体"/>
      <w:kern w:val="0"/>
      <w:sz w:val="24"/>
    </w:rPr>
  </w:style>
  <w:style w:type="paragraph" w:customStyle="1" w:styleId="37">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8">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9">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0">
    <w:name w:val="xl80"/>
    <w:basedOn w:val="1"/>
    <w:uiPriority w:val="0"/>
    <w:pPr>
      <w:widowControl/>
      <w:spacing w:before="100" w:beforeAutospacing="1" w:after="100" w:afterAutospacing="1"/>
      <w:jc w:val="center"/>
    </w:pPr>
    <w:rPr>
      <w:rFonts w:ascii="宋体" w:hAnsi="宋体" w:cs="宋体"/>
      <w:kern w:val="0"/>
      <w:sz w:val="24"/>
    </w:rPr>
  </w:style>
  <w:style w:type="paragraph" w:customStyle="1" w:styleId="4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3">
    <w:name w:val="xl8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4"/>
    </w:rPr>
  </w:style>
  <w:style w:type="paragraph" w:customStyle="1" w:styleId="44">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eastAsia="方正仿宋_GBK" w:cs="宋体"/>
      <w:kern w:val="0"/>
      <w:sz w:val="24"/>
    </w:rPr>
  </w:style>
  <w:style w:type="paragraph" w:customStyle="1" w:styleId="45">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eastAsia="方正仿宋_GBK" w:cs="宋体"/>
      <w:color w:val="FF0000"/>
      <w:kern w:val="0"/>
      <w:sz w:val="24"/>
    </w:rPr>
  </w:style>
  <w:style w:type="character" w:customStyle="1" w:styleId="46">
    <w:name w:val="批注文字 字符"/>
    <w:basedOn w:val="10"/>
    <w:semiHidden/>
    <w:uiPriority w:val="99"/>
    <w:rPr>
      <w:rFonts w:ascii="Calibri" w:hAnsi="Calibri" w:eastAsia="宋体" w:cs="Times New Roman"/>
      <w:szCs w:val="24"/>
    </w:rPr>
  </w:style>
  <w:style w:type="character" w:customStyle="1" w:styleId="47">
    <w:name w:val="批注文字 字符1"/>
    <w:link w:val="2"/>
    <w:semiHidden/>
    <w:qFormat/>
    <w:uiPriority w:val="99"/>
    <w:rPr>
      <w:rFonts w:ascii="Times New Roman" w:hAnsi="Times New Roman" w:eastAsia="宋体" w:cs="Times New Roman"/>
    </w:rPr>
  </w:style>
  <w:style w:type="character" w:customStyle="1" w:styleId="48">
    <w:name w:val="批注主题 字符"/>
    <w:basedOn w:val="46"/>
    <w:semiHidden/>
    <w:qFormat/>
    <w:uiPriority w:val="99"/>
    <w:rPr>
      <w:rFonts w:ascii="Calibri" w:hAnsi="Calibri" w:eastAsia="宋体" w:cs="Times New Roman"/>
      <w:b/>
      <w:bCs/>
      <w:szCs w:val="24"/>
    </w:rPr>
  </w:style>
  <w:style w:type="character" w:customStyle="1" w:styleId="49">
    <w:name w:val="批注主题 字符1"/>
    <w:link w:val="7"/>
    <w:semiHidden/>
    <w:qFormat/>
    <w:uiPriority w:val="99"/>
    <w:rPr>
      <w:rFonts w:ascii="Times New Roman" w:hAnsi="Times New Roman" w:eastAsia="宋体" w:cs="Times New Roman"/>
      <w:b/>
      <w:bCs/>
    </w:rPr>
  </w:style>
  <w:style w:type="character" w:customStyle="1" w:styleId="50">
    <w:name w:val="批注框文本 字符"/>
    <w:basedOn w:val="10"/>
    <w:semiHidden/>
    <w:qFormat/>
    <w:uiPriority w:val="99"/>
    <w:rPr>
      <w:rFonts w:ascii="Calibri" w:hAnsi="Calibri" w:eastAsia="宋体" w:cs="Times New Roman"/>
      <w:sz w:val="18"/>
      <w:szCs w:val="18"/>
    </w:rPr>
  </w:style>
  <w:style w:type="character" w:customStyle="1" w:styleId="51">
    <w:name w:val="批注框文本 字符1"/>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AppData/Roaming/Tencent/Users/14425424/QQ/WinTemp/RichOle/PUNS1PQHF0%25255bKBWJH%2525606ZS5AW.png" TargetMode="Externa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2139</Words>
  <Characters>12198</Characters>
  <Lines>101</Lines>
  <Paragraphs>28</Paragraphs>
  <TotalTime>910</TotalTime>
  <ScaleCrop>false</ScaleCrop>
  <LinksUpToDate>false</LinksUpToDate>
  <CharactersWithSpaces>14309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2021-04-09T02:51:00Z</dcterms:created>
  <dc:creator>Administrator</dc:creator>
  <cp:lastModifiedBy>韦富灿</cp:lastModifiedBy>
  <cp:lastPrinted>2021-05-25T09:49:00Z</cp:lastPrinted>
  <dcterms:modified xsi:type="dcterms:W3CDTF">2021-05-25T10:03:18Z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4F9344698B754A0AA605538BC50874EE</vt:lpwstr>
  </property>
</Properties>
</file>