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_GBK" w:eastAsia="方正小标宋_GBK"/>
          <w:sz w:val="44"/>
          <w:szCs w:val="44"/>
        </w:rPr>
      </w:pPr>
    </w:p>
    <w:p>
      <w:pPr>
        <w:jc w:val="center"/>
        <w:rPr>
          <w:rFonts w:ascii="方正小标宋_GBK" w:eastAsia="方正小标宋_GBK"/>
          <w:sz w:val="44"/>
          <w:szCs w:val="44"/>
        </w:rPr>
      </w:pPr>
    </w:p>
    <w:p>
      <w:pPr>
        <w:widowControl/>
        <w:jc w:val="left"/>
        <w:rPr>
          <w:rFonts w:ascii="Times New Roman" w:hAnsi="Times New Roman" w:eastAsia="方正仿宋_GBK"/>
          <w:sz w:val="32"/>
          <w:szCs w:val="22"/>
        </w:rPr>
      </w:pPr>
      <w:r>
        <w:rPr>
          <w:rFonts w:hint="eastAsia" w:ascii="Times New Roman" w:hAnsi="Times New Roman" w:eastAsia="方正仿宋_GBK"/>
          <w:sz w:val="32"/>
          <w:szCs w:val="22"/>
        </w:rPr>
        <w:t>附件1</w:t>
      </w:r>
    </w:p>
    <w:p>
      <w:pPr>
        <w:spacing w:line="660" w:lineRule="exact"/>
        <w:jc w:val="center"/>
        <w:rPr>
          <w:rFonts w:ascii="方正小标宋_GBK" w:hAnsi="宋体" w:eastAsia="方正小标宋_GBK"/>
          <w:sz w:val="44"/>
          <w:szCs w:val="44"/>
        </w:rPr>
      </w:pPr>
      <w:r>
        <w:rPr>
          <w:rFonts w:hint="eastAsia" w:ascii="方正小标宋_GBK" w:hAnsi="宋体" w:eastAsia="方正小标宋_GBK"/>
          <w:sz w:val="44"/>
          <w:szCs w:val="44"/>
        </w:rPr>
        <w:t>202</w:t>
      </w:r>
      <w:r>
        <w:rPr>
          <w:rFonts w:ascii="方正小标宋_GBK" w:hAnsi="宋体" w:eastAsia="方正小标宋_GBK"/>
          <w:sz w:val="44"/>
          <w:szCs w:val="44"/>
        </w:rPr>
        <w:t>1</w:t>
      </w:r>
      <w:r>
        <w:rPr>
          <w:rFonts w:hint="eastAsia" w:ascii="方正小标宋_GBK" w:hAnsi="宋体" w:eastAsia="方正小标宋_GBK"/>
          <w:sz w:val="44"/>
          <w:szCs w:val="44"/>
        </w:rPr>
        <w:t>年全区建设工程质量检测机构地基基础工程检测能力验证作业指导书</w:t>
      </w:r>
    </w:p>
    <w:p>
      <w:pPr>
        <w:spacing w:line="590" w:lineRule="exact"/>
        <w:ind w:firstLine="640" w:firstLineChars="200"/>
        <w:rPr>
          <w:rFonts w:ascii="方正黑体_GBK" w:hAnsi="宋体" w:eastAsia="方正黑体_GBK" w:cs="宋体"/>
          <w:sz w:val="32"/>
          <w:szCs w:val="32"/>
        </w:rPr>
      </w:pPr>
      <w:r>
        <w:rPr>
          <w:rFonts w:hint="eastAsia" w:ascii="方正黑体_GBK" w:hAnsi="宋体" w:eastAsia="方正黑体_GBK" w:cs="宋体"/>
          <w:sz w:val="32"/>
          <w:szCs w:val="32"/>
        </w:rPr>
        <w:t>一、编制目的</w:t>
      </w:r>
    </w:p>
    <w:p>
      <w:pPr>
        <w:spacing w:line="590" w:lineRule="exact"/>
        <w:ind w:firstLine="640" w:firstLineChars="200"/>
        <w:rPr>
          <w:rFonts w:eastAsia="方正仿宋_GBK"/>
          <w:sz w:val="32"/>
          <w:szCs w:val="32"/>
        </w:rPr>
      </w:pPr>
      <w:r>
        <w:rPr>
          <w:rFonts w:hint="eastAsia" w:eastAsia="方正仿宋_GBK"/>
          <w:sz w:val="32"/>
          <w:szCs w:val="32"/>
        </w:rPr>
        <w:t>为保证全区建设工程质量检测机构低应变法检测能力验证工作的顺利进行，制定本作业指导书。</w:t>
      </w:r>
    </w:p>
    <w:p>
      <w:pPr>
        <w:spacing w:line="590" w:lineRule="exact"/>
        <w:ind w:firstLine="640" w:firstLineChars="200"/>
        <w:rPr>
          <w:rFonts w:ascii="方正黑体_GBK" w:hAnsi="宋体" w:eastAsia="方正黑体_GBK" w:cs="宋体"/>
          <w:sz w:val="32"/>
          <w:szCs w:val="32"/>
        </w:rPr>
      </w:pPr>
      <w:r>
        <w:rPr>
          <w:rFonts w:hint="eastAsia" w:ascii="方正黑体_GBK" w:hAnsi="宋体" w:eastAsia="方正黑体_GBK" w:cs="宋体"/>
          <w:sz w:val="32"/>
          <w:szCs w:val="32"/>
        </w:rPr>
        <w:t>二、适用范围</w:t>
      </w:r>
    </w:p>
    <w:p>
      <w:pPr>
        <w:spacing w:line="590" w:lineRule="exact"/>
        <w:ind w:firstLine="640" w:firstLineChars="200"/>
        <w:rPr>
          <w:rFonts w:eastAsia="方正仿宋_GBK"/>
          <w:sz w:val="32"/>
          <w:szCs w:val="32"/>
        </w:rPr>
      </w:pPr>
      <w:r>
        <w:rPr>
          <w:rFonts w:hint="eastAsia" w:eastAsia="方正仿宋_GBK"/>
          <w:sz w:val="32"/>
          <w:szCs w:val="32"/>
        </w:rPr>
        <w:t>桩身完整性类别及可能存在的缺陷位置、缺陷性质等。</w:t>
      </w:r>
    </w:p>
    <w:p>
      <w:pPr>
        <w:spacing w:line="590" w:lineRule="exact"/>
        <w:ind w:firstLine="640" w:firstLineChars="200"/>
        <w:rPr>
          <w:rFonts w:eastAsia="方正仿宋_GBK"/>
          <w:sz w:val="32"/>
          <w:szCs w:val="32"/>
        </w:rPr>
      </w:pPr>
      <w:r>
        <w:rPr>
          <w:rFonts w:hint="eastAsia" w:ascii="方正黑体_GBK" w:hAnsi="宋体" w:eastAsia="方正黑体_GBK" w:cs="宋体"/>
          <w:sz w:val="32"/>
          <w:szCs w:val="32"/>
        </w:rPr>
        <w:t>三、引用标准</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《建筑基桩检测技术规范》（JGJ 106-2014）</w:t>
      </w:r>
    </w:p>
    <w:p>
      <w:pPr>
        <w:spacing w:line="590" w:lineRule="exact"/>
        <w:ind w:firstLine="640" w:firstLineChars="200"/>
        <w:rPr>
          <w:rFonts w:ascii="方正黑体_GBK" w:hAnsi="宋体" w:eastAsia="方正黑体_GBK" w:cs="宋体"/>
          <w:sz w:val="32"/>
          <w:szCs w:val="32"/>
        </w:rPr>
      </w:pPr>
      <w:r>
        <w:rPr>
          <w:rFonts w:hint="eastAsia" w:ascii="方正黑体_GBK" w:hAnsi="宋体" w:eastAsia="方正黑体_GBK" w:cs="宋体"/>
          <w:sz w:val="32"/>
          <w:szCs w:val="32"/>
        </w:rPr>
        <w:t>四、样品说明</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本次能力验证所用样品为</w:t>
      </w:r>
      <w:r>
        <w:rPr>
          <w:rFonts w:ascii="Times New Roman" w:hAnsi="Times New Roman" w:eastAsia="方正仿宋_GBK"/>
          <w:sz w:val="32"/>
          <w:szCs w:val="32"/>
        </w:rPr>
        <w:t>18</w:t>
      </w:r>
      <w:r>
        <w:rPr>
          <w:rFonts w:hint="eastAsia" w:ascii="Times New Roman" w:hAnsi="Times New Roman" w:eastAsia="方正仿宋_GBK"/>
          <w:sz w:val="32"/>
          <w:szCs w:val="32"/>
        </w:rPr>
        <w:t>根低应变法检测模型桩（其中有9根人工挖孔桩和9根预制管桩），部分模型桩设置各种性质缺陷。</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人工挖孔桩参数如下：</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持力层为强风化泥岩，桩径1000</w:t>
      </w:r>
      <w:r>
        <w:rPr>
          <w:rFonts w:ascii="Times New Roman" w:hAnsi="Times New Roman" w:eastAsia="方正仿宋_GBK"/>
          <w:sz w:val="32"/>
          <w:szCs w:val="32"/>
        </w:rPr>
        <w:t>mm</w:t>
      </w:r>
      <w:r>
        <w:rPr>
          <w:rFonts w:hint="eastAsia" w:ascii="Times New Roman" w:hAnsi="Times New Roman" w:eastAsia="方正仿宋_GBK"/>
          <w:sz w:val="32"/>
          <w:szCs w:val="32"/>
        </w:rPr>
        <w:t>，桩长6</w:t>
      </w:r>
      <w:r>
        <w:rPr>
          <w:rFonts w:hint="eastAsia" w:ascii="Microsoft YaHei UI" w:hAnsi="Microsoft YaHei UI" w:eastAsia="Microsoft YaHei UI"/>
          <w:sz w:val="32"/>
          <w:szCs w:val="32"/>
        </w:rPr>
        <w:t>～</w:t>
      </w:r>
      <w:r>
        <w:rPr>
          <w:rFonts w:hint="eastAsia" w:ascii="Times New Roman" w:hAnsi="Times New Roman" w:eastAsia="方正仿宋_GBK"/>
          <w:sz w:val="32"/>
          <w:szCs w:val="32"/>
        </w:rPr>
        <w:t>9</w:t>
      </w:r>
      <w:r>
        <w:rPr>
          <w:rFonts w:ascii="Times New Roman" w:hAnsi="Times New Roman" w:eastAsia="方正仿宋_GBK"/>
          <w:sz w:val="32"/>
          <w:szCs w:val="32"/>
        </w:rPr>
        <w:t>m</w:t>
      </w:r>
      <w:r>
        <w:rPr>
          <w:rFonts w:hint="eastAsia" w:ascii="Times New Roman" w:hAnsi="Times New Roman" w:eastAsia="方正仿宋_GBK"/>
          <w:sz w:val="32"/>
          <w:szCs w:val="32"/>
        </w:rPr>
        <w:t>，设计强度C</w:t>
      </w:r>
      <w:r>
        <w:rPr>
          <w:rFonts w:ascii="Times New Roman" w:hAnsi="Times New Roman" w:eastAsia="方正仿宋_GBK"/>
          <w:sz w:val="32"/>
          <w:szCs w:val="32"/>
        </w:rPr>
        <w:t>30</w:t>
      </w:r>
      <w:r>
        <w:rPr>
          <w:rFonts w:hint="eastAsia"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预制管桩参数如下：</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管桩为人工挖孔后埋设，桩径600</w:t>
      </w:r>
      <w:r>
        <w:rPr>
          <w:rFonts w:ascii="Times New Roman" w:hAnsi="Times New Roman" w:eastAsia="方正仿宋_GBK"/>
          <w:sz w:val="32"/>
          <w:szCs w:val="32"/>
        </w:rPr>
        <w:t>mm</w:t>
      </w:r>
      <w:r>
        <w:rPr>
          <w:rFonts w:hint="eastAsia" w:ascii="Times New Roman" w:hAnsi="Times New Roman" w:eastAsia="方正仿宋_GBK"/>
          <w:sz w:val="32"/>
          <w:szCs w:val="32"/>
        </w:rPr>
        <w:t>，桩长均为9</w:t>
      </w:r>
      <w:r>
        <w:rPr>
          <w:rFonts w:ascii="Times New Roman" w:hAnsi="Times New Roman" w:eastAsia="方正仿宋_GBK"/>
          <w:sz w:val="32"/>
          <w:szCs w:val="32"/>
        </w:rPr>
        <w:t>m</w:t>
      </w:r>
      <w:r>
        <w:rPr>
          <w:rFonts w:hint="eastAsia" w:ascii="Times New Roman" w:hAnsi="Times New Roman" w:eastAsia="方正仿宋_GBK"/>
          <w:sz w:val="32"/>
          <w:szCs w:val="32"/>
        </w:rPr>
        <w:t>，无接桩，设计强度C</w:t>
      </w:r>
      <w:r>
        <w:rPr>
          <w:rFonts w:ascii="Times New Roman" w:hAnsi="Times New Roman" w:eastAsia="方正仿宋_GBK"/>
          <w:sz w:val="32"/>
          <w:szCs w:val="32"/>
        </w:rPr>
        <w:t>80</w:t>
      </w:r>
      <w:r>
        <w:rPr>
          <w:rFonts w:hint="eastAsia" w:ascii="Times New Roman" w:hAnsi="Times New Roman" w:eastAsia="方正仿宋_GBK"/>
          <w:sz w:val="32"/>
          <w:szCs w:val="32"/>
        </w:rPr>
        <w:t>。</w:t>
      </w:r>
    </w:p>
    <w:p>
      <w:pPr>
        <w:spacing w:line="590" w:lineRule="exact"/>
        <w:ind w:firstLine="640" w:firstLineChars="200"/>
        <w:rPr>
          <w:rFonts w:ascii="方正黑体_GBK" w:hAnsi="宋体" w:eastAsia="方正黑体_GBK" w:cs="宋体"/>
          <w:sz w:val="32"/>
          <w:szCs w:val="32"/>
        </w:rPr>
      </w:pPr>
      <w:r>
        <w:rPr>
          <w:rFonts w:hint="eastAsia" w:ascii="方正黑体_GBK" w:hAnsi="宋体" w:eastAsia="方正黑体_GBK" w:cs="宋体"/>
          <w:sz w:val="32"/>
          <w:szCs w:val="32"/>
        </w:rPr>
        <w:t>五、验证要求</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（一）本次能力验证分为信号采集和数据分析两部分，按《建筑基桩检测技术规范》（JGJ 106-2014）有关要求执行；</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（二）每家检测机构的检测人员须采用低应变法检测6根模型桩，规定时间为</w:t>
      </w:r>
      <w:r>
        <w:rPr>
          <w:rFonts w:ascii="Times New Roman" w:hAnsi="Times New Roman" w:eastAsia="方正仿宋_GBK"/>
          <w:sz w:val="32"/>
          <w:szCs w:val="32"/>
        </w:rPr>
        <w:t>70</w:t>
      </w:r>
      <w:r>
        <w:rPr>
          <w:rFonts w:hint="eastAsia" w:ascii="Times New Roman" w:hAnsi="Times New Roman" w:eastAsia="方正仿宋_GBK"/>
          <w:sz w:val="32"/>
          <w:szCs w:val="32"/>
        </w:rPr>
        <w:t>分钟，其中信号采集</w:t>
      </w:r>
      <w:r>
        <w:rPr>
          <w:rFonts w:ascii="Times New Roman" w:hAnsi="Times New Roman" w:eastAsia="方正仿宋_GBK"/>
          <w:sz w:val="32"/>
          <w:szCs w:val="32"/>
        </w:rPr>
        <w:t>30</w:t>
      </w:r>
      <w:r>
        <w:rPr>
          <w:rFonts w:hint="eastAsia" w:ascii="Times New Roman" w:hAnsi="Times New Roman" w:eastAsia="方正仿宋_GBK"/>
          <w:sz w:val="32"/>
          <w:szCs w:val="32"/>
        </w:rPr>
        <w:t>分钟，数据分析</w:t>
      </w:r>
      <w:r>
        <w:rPr>
          <w:rFonts w:ascii="Times New Roman" w:hAnsi="Times New Roman" w:eastAsia="方正仿宋_GBK"/>
          <w:sz w:val="32"/>
          <w:szCs w:val="32"/>
        </w:rPr>
        <w:t>40</w:t>
      </w:r>
      <w:r>
        <w:rPr>
          <w:rFonts w:hint="eastAsia" w:ascii="Times New Roman" w:hAnsi="Times New Roman" w:eastAsia="方正仿宋_GBK"/>
          <w:sz w:val="32"/>
          <w:szCs w:val="32"/>
        </w:rPr>
        <w:t>分钟；</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（三）检测人员现场随机抽取测试桩号，在引导员的指引下到达检测区在对应桩位上进行检测，引导员记录检测起始时间；</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（四）信号采集结束后，检测人员跟随引导员进入计算区进行数据分析，并在规定时间内向引导员提交《能力验证结果报告单》，引导员记录报告单提交时间；</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（五）报告单提交后，检测人员需向现场工作人员拷贝报告单电子版，便于汇总统计；</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（六）检测机构需自行准备仪器设备、电脑、打印机、空白U盘、文具、排插等物品。</w:t>
      </w:r>
    </w:p>
    <w:p>
      <w:pPr>
        <w:spacing w:line="590" w:lineRule="exact"/>
        <w:ind w:firstLine="640" w:firstLineChars="200"/>
        <w:rPr>
          <w:rFonts w:ascii="方正黑体_GBK" w:hAnsi="宋体" w:eastAsia="方正黑体_GBK" w:cs="宋体"/>
          <w:sz w:val="32"/>
          <w:szCs w:val="32"/>
        </w:rPr>
      </w:pPr>
      <w:r>
        <w:rPr>
          <w:rFonts w:hint="eastAsia" w:ascii="方正黑体_GBK" w:hAnsi="宋体" w:eastAsia="方正黑体_GBK" w:cs="宋体"/>
          <w:sz w:val="32"/>
          <w:szCs w:val="32"/>
        </w:rPr>
        <w:t>六、其他要求</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（一）参加能力验证的人员进入检测区前需经现场工作人员核验身份，能力验证过程中发现有无故换人情况的，判定其能力验证结果为“不满意”；</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（二）检测机构应独立完成本次能力验证工作，检测人员手机应调至静音或关机状态，严禁在检测区和计算区拨打电话、收发信息，严禁与其他检测机构交流讨论，一经发现判定其能力验证结果为“不满意”；</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（三）检测机构须在规定时间内提交结果报告单，超时未提交的判定其能力验证结果为“不满意”；</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（四）检测机构应在能力验证前调试好仪器设备，现场检测时严禁仪器设备厂家的技术人员或其他无关人员进入现场帮忙调试，因仪器设备问题导致无法正常检测或超出规定时间的，由检测机构自行负责；</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（五）检测机构应听从现场工作人员指挥，严格遵守现场组织纪律及相关防疫规定，有序、顺利完成本次能力验证工作。</w:t>
      </w:r>
    </w:p>
    <w:p>
      <w:pPr>
        <w:rPr>
          <w:rFonts w:hint="eastAsia" w:ascii="宋体" w:hAnsi="宋体" w:cs="宋体"/>
          <w:kern w:val="0"/>
          <w:sz w:val="28"/>
          <w:szCs w:val="28"/>
        </w:rPr>
      </w:pPr>
      <w:bookmarkStart w:id="0" w:name="_GoBack"/>
      <w:bookmarkEnd w:id="0"/>
    </w:p>
    <w:sectPr>
      <w:footerReference r:id="rId3" w:type="default"/>
      <w:footerReference r:id="rId4" w:type="even"/>
      <w:pgSz w:w="16838" w:h="11906" w:orient="landscape"/>
      <w:pgMar w:top="1418" w:right="1418" w:bottom="1418" w:left="1418" w:header="851" w:footer="992" w:gutter="0"/>
      <w:pgNumType w:fmt="numberInDash"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590149"/>
      <w:docPartObj>
        <w:docPartGallery w:val="autotext"/>
      </w:docPartObj>
    </w:sdtPr>
    <w:sdtEndPr>
      <w:rPr>
        <w:sz w:val="28"/>
        <w:szCs w:val="28"/>
      </w:rPr>
    </w:sdtEndPr>
    <w:sdtContent>
      <w:p>
        <w:pPr>
          <w:pStyle w:val="5"/>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- 2 -</w:t>
        </w:r>
        <w:r>
          <w:rPr>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476941"/>
      <w:docPartObj>
        <w:docPartGallery w:val="autotext"/>
      </w:docPartObj>
    </w:sdtPr>
    <w:sdtEndPr>
      <w:rPr>
        <w:sz w:val="28"/>
        <w:szCs w:val="28"/>
      </w:rPr>
    </w:sdtEndPr>
    <w:sdtContent>
      <w:p>
        <w:pPr>
          <w:pStyle w:val="5"/>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B6"/>
    <w:rsid w:val="000072BA"/>
    <w:rsid w:val="00011022"/>
    <w:rsid w:val="00016DA4"/>
    <w:rsid w:val="00037AB7"/>
    <w:rsid w:val="00042D13"/>
    <w:rsid w:val="000539C0"/>
    <w:rsid w:val="0006175E"/>
    <w:rsid w:val="0007196A"/>
    <w:rsid w:val="000831D6"/>
    <w:rsid w:val="00084563"/>
    <w:rsid w:val="000A2937"/>
    <w:rsid w:val="000C2ED1"/>
    <w:rsid w:val="000E470C"/>
    <w:rsid w:val="0010570F"/>
    <w:rsid w:val="00110B02"/>
    <w:rsid w:val="00125DA6"/>
    <w:rsid w:val="00145114"/>
    <w:rsid w:val="0015105F"/>
    <w:rsid w:val="00156B1E"/>
    <w:rsid w:val="001608EB"/>
    <w:rsid w:val="00163469"/>
    <w:rsid w:val="00163718"/>
    <w:rsid w:val="001713C6"/>
    <w:rsid w:val="00177CCD"/>
    <w:rsid w:val="001B74A8"/>
    <w:rsid w:val="001F04F0"/>
    <w:rsid w:val="001F72EB"/>
    <w:rsid w:val="00200454"/>
    <w:rsid w:val="00214640"/>
    <w:rsid w:val="0024267B"/>
    <w:rsid w:val="00247416"/>
    <w:rsid w:val="002606EE"/>
    <w:rsid w:val="002669A8"/>
    <w:rsid w:val="00274C77"/>
    <w:rsid w:val="00286D35"/>
    <w:rsid w:val="00292424"/>
    <w:rsid w:val="002973B6"/>
    <w:rsid w:val="002A37AD"/>
    <w:rsid w:val="002B55B7"/>
    <w:rsid w:val="002D1D91"/>
    <w:rsid w:val="002D608F"/>
    <w:rsid w:val="0030091E"/>
    <w:rsid w:val="00303BA6"/>
    <w:rsid w:val="00304A50"/>
    <w:rsid w:val="003224A2"/>
    <w:rsid w:val="0033280C"/>
    <w:rsid w:val="00352C8A"/>
    <w:rsid w:val="00353F57"/>
    <w:rsid w:val="003541F6"/>
    <w:rsid w:val="0035762B"/>
    <w:rsid w:val="00371C6E"/>
    <w:rsid w:val="00374714"/>
    <w:rsid w:val="003933E8"/>
    <w:rsid w:val="003A42EC"/>
    <w:rsid w:val="003C1DD9"/>
    <w:rsid w:val="003C21B3"/>
    <w:rsid w:val="0040135D"/>
    <w:rsid w:val="00413581"/>
    <w:rsid w:val="00433EDF"/>
    <w:rsid w:val="00446EB5"/>
    <w:rsid w:val="00485E1B"/>
    <w:rsid w:val="004962FB"/>
    <w:rsid w:val="004A3108"/>
    <w:rsid w:val="004B3848"/>
    <w:rsid w:val="004D5809"/>
    <w:rsid w:val="00512756"/>
    <w:rsid w:val="00522E2A"/>
    <w:rsid w:val="00525B05"/>
    <w:rsid w:val="0055078C"/>
    <w:rsid w:val="00562CB6"/>
    <w:rsid w:val="00566BB4"/>
    <w:rsid w:val="00572ADD"/>
    <w:rsid w:val="00581423"/>
    <w:rsid w:val="00583632"/>
    <w:rsid w:val="00583F6E"/>
    <w:rsid w:val="0058556D"/>
    <w:rsid w:val="005920FB"/>
    <w:rsid w:val="00593518"/>
    <w:rsid w:val="005A54AA"/>
    <w:rsid w:val="005C7EEE"/>
    <w:rsid w:val="005F2F66"/>
    <w:rsid w:val="00620825"/>
    <w:rsid w:val="00621CCF"/>
    <w:rsid w:val="00661E42"/>
    <w:rsid w:val="006707DB"/>
    <w:rsid w:val="006726B4"/>
    <w:rsid w:val="006F14A5"/>
    <w:rsid w:val="00701400"/>
    <w:rsid w:val="00713491"/>
    <w:rsid w:val="0077391E"/>
    <w:rsid w:val="00793D36"/>
    <w:rsid w:val="007B493F"/>
    <w:rsid w:val="007E4054"/>
    <w:rsid w:val="007F7A23"/>
    <w:rsid w:val="008131A9"/>
    <w:rsid w:val="00813AB7"/>
    <w:rsid w:val="00843385"/>
    <w:rsid w:val="00845037"/>
    <w:rsid w:val="008641CA"/>
    <w:rsid w:val="008A5C35"/>
    <w:rsid w:val="008D2A7B"/>
    <w:rsid w:val="0090085F"/>
    <w:rsid w:val="009133E5"/>
    <w:rsid w:val="00931A76"/>
    <w:rsid w:val="0094561E"/>
    <w:rsid w:val="00952BF8"/>
    <w:rsid w:val="00961D0B"/>
    <w:rsid w:val="00964AE6"/>
    <w:rsid w:val="0097065F"/>
    <w:rsid w:val="00976852"/>
    <w:rsid w:val="00997E85"/>
    <w:rsid w:val="00997F01"/>
    <w:rsid w:val="009B2B47"/>
    <w:rsid w:val="009B7B57"/>
    <w:rsid w:val="009D01BB"/>
    <w:rsid w:val="009D439E"/>
    <w:rsid w:val="009E12A3"/>
    <w:rsid w:val="009E6ED8"/>
    <w:rsid w:val="00A23EED"/>
    <w:rsid w:val="00A40E42"/>
    <w:rsid w:val="00A44A48"/>
    <w:rsid w:val="00A47BF6"/>
    <w:rsid w:val="00A63753"/>
    <w:rsid w:val="00A71D6C"/>
    <w:rsid w:val="00A82CC8"/>
    <w:rsid w:val="00A84158"/>
    <w:rsid w:val="00AA4E86"/>
    <w:rsid w:val="00AB15C0"/>
    <w:rsid w:val="00AC4CD3"/>
    <w:rsid w:val="00AE6050"/>
    <w:rsid w:val="00B018EF"/>
    <w:rsid w:val="00B028B9"/>
    <w:rsid w:val="00B2572A"/>
    <w:rsid w:val="00B27AE3"/>
    <w:rsid w:val="00B65898"/>
    <w:rsid w:val="00B84A7C"/>
    <w:rsid w:val="00BA0DB8"/>
    <w:rsid w:val="00BC6E2B"/>
    <w:rsid w:val="00BF37CC"/>
    <w:rsid w:val="00BF38F2"/>
    <w:rsid w:val="00C051C9"/>
    <w:rsid w:val="00C1084C"/>
    <w:rsid w:val="00C112A0"/>
    <w:rsid w:val="00C16B17"/>
    <w:rsid w:val="00C17668"/>
    <w:rsid w:val="00C25839"/>
    <w:rsid w:val="00C27818"/>
    <w:rsid w:val="00C33A00"/>
    <w:rsid w:val="00C34730"/>
    <w:rsid w:val="00C5554B"/>
    <w:rsid w:val="00C62E2F"/>
    <w:rsid w:val="00C75482"/>
    <w:rsid w:val="00C858A6"/>
    <w:rsid w:val="00CA3BBC"/>
    <w:rsid w:val="00CA5BF9"/>
    <w:rsid w:val="00CB2752"/>
    <w:rsid w:val="00CC05BB"/>
    <w:rsid w:val="00CC43ED"/>
    <w:rsid w:val="00CC6A8A"/>
    <w:rsid w:val="00CE1C57"/>
    <w:rsid w:val="00CE2A5D"/>
    <w:rsid w:val="00D0634F"/>
    <w:rsid w:val="00D10A93"/>
    <w:rsid w:val="00D352C6"/>
    <w:rsid w:val="00D447C7"/>
    <w:rsid w:val="00D52AB5"/>
    <w:rsid w:val="00D53CB2"/>
    <w:rsid w:val="00D576B9"/>
    <w:rsid w:val="00D77C2B"/>
    <w:rsid w:val="00D8111D"/>
    <w:rsid w:val="00D866A3"/>
    <w:rsid w:val="00D91BA4"/>
    <w:rsid w:val="00DA37BF"/>
    <w:rsid w:val="00DB785A"/>
    <w:rsid w:val="00DC0D4F"/>
    <w:rsid w:val="00DC0E4E"/>
    <w:rsid w:val="00DD1760"/>
    <w:rsid w:val="00E31AFC"/>
    <w:rsid w:val="00E54C5E"/>
    <w:rsid w:val="00E6757A"/>
    <w:rsid w:val="00E72967"/>
    <w:rsid w:val="00E76853"/>
    <w:rsid w:val="00E94524"/>
    <w:rsid w:val="00ED1390"/>
    <w:rsid w:val="00EE3887"/>
    <w:rsid w:val="00EE6D8A"/>
    <w:rsid w:val="00EF55FE"/>
    <w:rsid w:val="00F03EDC"/>
    <w:rsid w:val="00F06A40"/>
    <w:rsid w:val="00F24EBF"/>
    <w:rsid w:val="00F3423D"/>
    <w:rsid w:val="00F57698"/>
    <w:rsid w:val="00F72446"/>
    <w:rsid w:val="00FA4514"/>
    <w:rsid w:val="00FB2DFD"/>
    <w:rsid w:val="00FB4FCF"/>
    <w:rsid w:val="00FC3907"/>
    <w:rsid w:val="015F3EBA"/>
    <w:rsid w:val="1F6D2C8B"/>
    <w:rsid w:val="7D0F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7"/>
    <w:semiHidden/>
    <w:unhideWhenUsed/>
    <w:qFormat/>
    <w:uiPriority w:val="99"/>
    <w:pPr>
      <w:jc w:val="left"/>
    </w:pPr>
    <w:rPr>
      <w:rFonts w:ascii="Times New Roman" w:hAnsi="Times New Roman"/>
      <w:szCs w:val="22"/>
    </w:rPr>
  </w:style>
  <w:style w:type="paragraph" w:styleId="3">
    <w:name w:val="Date"/>
    <w:basedOn w:val="1"/>
    <w:next w:val="1"/>
    <w:link w:val="20"/>
    <w:semiHidden/>
    <w:unhideWhenUsed/>
    <w:qFormat/>
    <w:uiPriority w:val="99"/>
    <w:pPr>
      <w:ind w:left="100" w:leftChars="2500"/>
    </w:pPr>
  </w:style>
  <w:style w:type="paragraph" w:styleId="4">
    <w:name w:val="Balloon Text"/>
    <w:basedOn w:val="1"/>
    <w:link w:val="51"/>
    <w:semiHidden/>
    <w:unhideWhenUsed/>
    <w:qFormat/>
    <w:uiPriority w:val="99"/>
    <w:rPr>
      <w:rFonts w:ascii="Times New Roman" w:hAnsi="Times New Roman"/>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49"/>
    <w:semiHidden/>
    <w:unhideWhenUsed/>
    <w:qFormat/>
    <w:uiPriority w:val="99"/>
    <w:rPr>
      <w:b/>
      <w:bCs/>
    </w:rPr>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semiHidden/>
    <w:unhideWhenUsed/>
    <w:qFormat/>
    <w:uiPriority w:val="99"/>
    <w:rPr>
      <w:color w:val="954F72"/>
      <w:u w:val="single"/>
    </w:rPr>
  </w:style>
  <w:style w:type="character" w:styleId="13">
    <w:name w:val="Emphasis"/>
    <w:basedOn w:val="10"/>
    <w:qFormat/>
    <w:uiPriority w:val="20"/>
    <w:rPr>
      <w:i/>
      <w:iCs/>
    </w:rPr>
  </w:style>
  <w:style w:type="character" w:styleId="14">
    <w:name w:val="Hyperlink"/>
    <w:basedOn w:val="10"/>
    <w:qFormat/>
    <w:uiPriority w:val="99"/>
    <w:rPr>
      <w:color w:val="0000FF"/>
      <w:u w:val="single"/>
    </w:rPr>
  </w:style>
  <w:style w:type="character" w:styleId="15">
    <w:name w:val="annotation reference"/>
    <w:semiHidden/>
    <w:unhideWhenUsed/>
    <w:qFormat/>
    <w:uiPriority w:val="99"/>
    <w:rPr>
      <w:sz w:val="21"/>
      <w:szCs w:val="21"/>
    </w:rPr>
  </w:style>
  <w:style w:type="character" w:customStyle="1" w:styleId="16">
    <w:name w:val="页眉 字符"/>
    <w:basedOn w:val="10"/>
    <w:link w:val="6"/>
    <w:qFormat/>
    <w:uiPriority w:val="0"/>
    <w:rPr>
      <w:rFonts w:ascii="Calibri" w:hAnsi="Calibri" w:eastAsia="宋体" w:cs="Times New Roman"/>
      <w:sz w:val="18"/>
      <w:szCs w:val="18"/>
    </w:rPr>
  </w:style>
  <w:style w:type="character" w:customStyle="1" w:styleId="17">
    <w:name w:val="页脚 字符"/>
    <w:basedOn w:val="10"/>
    <w:link w:val="5"/>
    <w:qFormat/>
    <w:uiPriority w:val="99"/>
    <w:rPr>
      <w:rFonts w:ascii="Calibri" w:hAnsi="Calibri" w:eastAsia="宋体" w:cs="Times New Roman"/>
      <w:sz w:val="18"/>
      <w:szCs w:val="18"/>
    </w:rPr>
  </w:style>
  <w:style w:type="paragraph" w:customStyle="1" w:styleId="18">
    <w:name w:val="MSG_EN_FONT_STYLE_NAME_TEMPLATE_ROLE_NUMBER MSG_EN_FONT_STYLE_NAME_BY_ROLE_TEXT 21"/>
    <w:basedOn w:val="1"/>
    <w:qFormat/>
    <w:uiPriority w:val="99"/>
    <w:pPr>
      <w:shd w:val="clear" w:color="auto" w:fill="FFFFFF"/>
      <w:spacing w:line="461" w:lineRule="exact"/>
      <w:jc w:val="distribute"/>
    </w:pPr>
    <w:rPr>
      <w:rFonts w:ascii="PMingLiU" w:eastAsia="PMingLiU" w:cs="PMingLiU"/>
      <w:kern w:val="0"/>
      <w:sz w:val="20"/>
      <w:szCs w:val="20"/>
    </w:rPr>
  </w:style>
  <w:style w:type="paragraph" w:styleId="19">
    <w:name w:val="List Paragraph"/>
    <w:basedOn w:val="1"/>
    <w:qFormat/>
    <w:uiPriority w:val="34"/>
    <w:pPr>
      <w:ind w:firstLine="420" w:firstLineChars="200"/>
    </w:pPr>
  </w:style>
  <w:style w:type="character" w:customStyle="1" w:styleId="20">
    <w:name w:val="日期 字符"/>
    <w:basedOn w:val="10"/>
    <w:link w:val="3"/>
    <w:semiHidden/>
    <w:qFormat/>
    <w:uiPriority w:val="99"/>
    <w:rPr>
      <w:rFonts w:ascii="Calibri" w:hAnsi="Calibri" w:eastAsia="宋体" w:cs="Times New Roman"/>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方正仿宋_GBK" w:hAnsi="宋体" w:eastAsia="方正仿宋_GBK" w:cs="宋体"/>
      <w:color w:val="000000"/>
      <w:kern w:val="0"/>
      <w:sz w:val="24"/>
    </w:rPr>
  </w:style>
  <w:style w:type="paragraph" w:customStyle="1" w:styleId="23">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rPr>
  </w:style>
  <w:style w:type="paragraph" w:customStyle="1" w:styleId="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rPr>
  </w:style>
  <w:style w:type="paragraph" w:customStyle="1" w:styleId="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rPr>
  </w:style>
  <w:style w:type="paragraph" w:customStyle="1" w:styleId="32">
    <w:name w:val="xl72"/>
    <w:basedOn w:val="1"/>
    <w:qFormat/>
    <w:uiPriority w:val="0"/>
    <w:pPr>
      <w:widowControl/>
      <w:spacing w:before="100" w:beforeAutospacing="1" w:after="100" w:afterAutospacing="1"/>
      <w:jc w:val="center"/>
    </w:pPr>
    <w:rPr>
      <w:rFonts w:ascii="方正仿宋_GBK" w:hAnsi="宋体" w:eastAsia="方正仿宋_GBK" w:cs="宋体"/>
      <w:kern w:val="0"/>
      <w:sz w:val="24"/>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34">
    <w:name w:val="xl74"/>
    <w:basedOn w:val="1"/>
    <w:qFormat/>
    <w:uiPriority w:val="0"/>
    <w:pPr>
      <w:widowControl/>
      <w:spacing w:before="100" w:beforeAutospacing="1" w:after="100" w:afterAutospacing="1"/>
      <w:jc w:val="center"/>
    </w:pPr>
    <w:rPr>
      <w:rFonts w:ascii="Times New Roman" w:hAnsi="Times New Roman"/>
      <w:kern w:val="0"/>
      <w:sz w:val="24"/>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ascii="方正仿宋_GBK" w:hAnsi="宋体" w:eastAsia="方正仿宋_GBK" w:cs="宋体"/>
      <w:kern w:val="0"/>
      <w:sz w:val="24"/>
    </w:rPr>
  </w:style>
  <w:style w:type="paragraph" w:customStyle="1" w:styleId="3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eastAsia="方正仿宋_GBK" w:cs="宋体"/>
      <w:kern w:val="0"/>
      <w:sz w:val="24"/>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4"/>
    </w:rPr>
  </w:style>
  <w:style w:type="paragraph" w:customStyle="1" w:styleId="44">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rPr>
  </w:style>
  <w:style w:type="paragraph" w:customStyle="1" w:styleId="45">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FF0000"/>
      <w:kern w:val="0"/>
      <w:sz w:val="24"/>
    </w:rPr>
  </w:style>
  <w:style w:type="character" w:customStyle="1" w:styleId="46">
    <w:name w:val="批注文字 字符"/>
    <w:basedOn w:val="10"/>
    <w:semiHidden/>
    <w:uiPriority w:val="99"/>
    <w:rPr>
      <w:rFonts w:ascii="Calibri" w:hAnsi="Calibri" w:eastAsia="宋体" w:cs="Times New Roman"/>
      <w:szCs w:val="24"/>
    </w:rPr>
  </w:style>
  <w:style w:type="character" w:customStyle="1" w:styleId="47">
    <w:name w:val="批注文字 字符1"/>
    <w:link w:val="2"/>
    <w:semiHidden/>
    <w:uiPriority w:val="99"/>
    <w:rPr>
      <w:rFonts w:ascii="Times New Roman" w:hAnsi="Times New Roman" w:eastAsia="宋体" w:cs="Times New Roman"/>
    </w:rPr>
  </w:style>
  <w:style w:type="character" w:customStyle="1" w:styleId="48">
    <w:name w:val="批注主题 字符"/>
    <w:basedOn w:val="46"/>
    <w:semiHidden/>
    <w:uiPriority w:val="99"/>
    <w:rPr>
      <w:rFonts w:ascii="Calibri" w:hAnsi="Calibri" w:eastAsia="宋体" w:cs="Times New Roman"/>
      <w:b/>
      <w:bCs/>
      <w:szCs w:val="24"/>
    </w:rPr>
  </w:style>
  <w:style w:type="character" w:customStyle="1" w:styleId="49">
    <w:name w:val="批注主题 字符1"/>
    <w:link w:val="7"/>
    <w:semiHidden/>
    <w:uiPriority w:val="99"/>
    <w:rPr>
      <w:rFonts w:ascii="Times New Roman" w:hAnsi="Times New Roman" w:eastAsia="宋体" w:cs="Times New Roman"/>
      <w:b/>
      <w:bCs/>
    </w:rPr>
  </w:style>
  <w:style w:type="character" w:customStyle="1" w:styleId="50">
    <w:name w:val="批注框文本 字符"/>
    <w:basedOn w:val="10"/>
    <w:semiHidden/>
    <w:uiPriority w:val="99"/>
    <w:rPr>
      <w:rFonts w:ascii="Calibri" w:hAnsi="Calibri" w:eastAsia="宋体" w:cs="Times New Roman"/>
      <w:sz w:val="18"/>
      <w:szCs w:val="18"/>
    </w:rPr>
  </w:style>
  <w:style w:type="character" w:customStyle="1" w:styleId="51">
    <w:name w:val="批注框文本 字符1"/>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822FC-2893-42CE-BAB9-38C0AF21007A}">
  <ds:schemaRefs/>
</ds:datastoreItem>
</file>

<file path=docProps/app.xml><?xml version="1.0" encoding="utf-8"?>
<Properties xmlns="http://schemas.openxmlformats.org/officeDocument/2006/extended-properties" xmlns:vt="http://schemas.openxmlformats.org/officeDocument/2006/docPropsVTypes">
  <Template>Normal</Template>
  <Pages>14</Pages>
  <Words>1393</Words>
  <Characters>7946</Characters>
  <Lines>66</Lines>
  <Paragraphs>18</Paragraphs>
  <TotalTime>1265</TotalTime>
  <ScaleCrop>false</ScaleCrop>
  <LinksUpToDate>false</LinksUpToDate>
  <CharactersWithSpaces>9321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2021-04-09T02:51:00Z</dcterms:created>
  <dc:creator>Administrator</dc:creator>
  <cp:lastModifiedBy>陈樑</cp:lastModifiedBy>
  <cp:lastPrinted>2021-07-07T00:20:00Z</cp:lastPrinted>
  <dcterms:modified xsi:type="dcterms:W3CDTF">2021-07-07T01:47:17Z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5D317279653E4F888F339BE924C5B85B</vt:lpwstr>
  </property>
</Properties>
</file>